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London</w:t>
      </w:r>
      <w:r>
        <w:t xml:space="preserve"> </w:t>
      </w:r>
      <w:r>
        <w:t xml:space="preserve">Healthcare</w:t>
      </w:r>
      <w:r>
        <w:t xml:space="preserve"> </w:t>
      </w:r>
      <w:r>
        <w:t xml:space="preserve">Providers</w:t>
      </w:r>
    </w:p>
    <w:bookmarkStart w:id="29" w:name="q3-2023-sales-report"/>
    <w:p>
      <w:pPr>
        <w:pStyle w:val="Heading1"/>
      </w:pPr>
      <w:r>
        <w:t xml:space="preserve">Q3 2023 Sales Report</w:t>
      </w:r>
    </w:p>
    <w:bookmarkStart w:id="28" w:name="Xef5e4bfab63276129d1746200ab0f0d94bca6b1"/>
    <w:p>
      <w:pPr>
        <w:pStyle w:val="Heading2"/>
      </w:pPr>
      <w:r>
        <w:t xml:space="preserve">Surgical Solutions Provider Performance in United Kingdom London</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Sales Report details the performance of Surgical Innovations Ltd. (SIL) in the United Kingdom London market during Q3 2023. The period marked a significant milestone with record engagement from leading surgeons across London's NHS trusts and private healthcare facilities. Our strategic focus on precision surgical instruments and minimally invasive technology yielded a 17% year-over-year growth in sales revenue, totaling £4.2M within the London region alone.</w:t>
      </w:r>
    </w:p>
    <w:bookmarkEnd w:id="20"/>
    <w:bookmarkStart w:id="21" w:name="market-context-strategic-alignment"/>
    <w:p>
      <w:pPr>
        <w:pStyle w:val="Heading3"/>
      </w:pPr>
      <w:r>
        <w:t xml:space="preserve">Market Context &amp; Strategic Alignment</w:t>
      </w:r>
    </w:p>
    <w:p>
      <w:pPr>
        <w:pStyle w:val="FirstParagraph"/>
      </w:pPr>
      <w:r>
        <w:t xml:space="preserve">The United Kingdom London healthcare landscape continues to evolve with the National Health Service (NHS) prioritizing surgical efficiency and patient outcomes. As a leading provider of advanced surgical tools, SIL has positioned itself at the forefront of this transformation. Our Q3 performance directly responds to growing demand from surgeons seeking reliable, cutting-edge equipment that reduces procedure times while enhancing precision – critical factors in London's high-volume teaching hospitals like University College Hospital and King's College Hospital.</w:t>
      </w:r>
    </w:p>
    <w:bookmarkEnd w:id="21"/>
    <w:bookmarkStart w:id="22" w:name="key-sales-metrics-london-region"/>
    <w:p>
      <w:pPr>
        <w:pStyle w:val="Heading3"/>
      </w:pPr>
      <w:r>
        <w:t xml:space="preserve">Key Sales Metrics (London Region)</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(London)</w:t>
      </w:r>
    </w:p>
    <w:p>
      <w:pPr>
        <w:pStyle w:val="BodyText"/>
      </w:pPr>
      <w:r>
        <w:t xml:space="preserve">£4,205,000</w:t>
      </w:r>
    </w:p>
    <w:p>
      <w:pPr>
        <w:pStyle w:val="BodyText"/>
      </w:pPr>
      <w:r>
        <w:t xml:space="preserve">£3,595,000</w:t>
      </w:r>
    </w:p>
    <w:p>
      <w:pPr>
        <w:pStyle w:val="BodyText"/>
      </w:pPr>
      <w:r>
        <w:t xml:space="preserve">+17.0%</w:t>
      </w:r>
    </w:p>
    <w:p>
      <w:pPr>
        <w:pStyle w:val="BodyText"/>
      </w:pPr>
      <w:r>
        <w:t xml:space="preserve">New Surgeon Onboardings</w:t>
      </w:r>
    </w:p>
    <w:p>
      <w:pPr>
        <w:pStyle w:val="BodyText"/>
      </w:pPr>
      <w:r>
        <w:t xml:space="preserve">82 surgeons</w:t>
      </w:r>
    </w:p>
    <w:p>
      <w:pPr>
        <w:pStyle w:val="BodyText"/>
      </w:pPr>
      <w:r>
        <w:t xml:space="preserve">63 surgeons</w:t>
      </w:r>
    </w:p>
    <w:p>
      <w:pPr>
        <w:pStyle w:val="BodyText"/>
      </w:pPr>
      <w:r>
        <w:t xml:space="preserve">+30.2%</w:t>
      </w:r>
    </w:p>
    <w:p>
      <w:pPr>
        <w:pStyle w:val="BodyText"/>
      </w:pPr>
      <w:r>
        <w:t xml:space="preserve">Instrument Unit Sales (London)</w:t>
      </w:r>
    </w:p>
    <w:p>
      <w:pPr>
        <w:pStyle w:val="BodyText"/>
      </w:pPr>
      <w:r>
        <w:t xml:space="preserve">1,850 units</w:t>
      </w:r>
    </w:p>
    <w:p>
      <w:pPr>
        <w:pStyle w:val="BodyText"/>
      </w:pPr>
      <w:r>
        <w:t xml:space="preserve">1,420 units</w:t>
      </w:r>
    </w:p>
    <w:p>
      <w:pPr>
        <w:pStyle w:val="BodyText"/>
      </w:pPr>
      <w:r>
        <w:t xml:space="preserve">+30.3%</w:t>
      </w:r>
    </w:p>
    <w:p>
      <w:pPr>
        <w:pStyle w:val="BodyText"/>
      </w:pPr>
      <w:r>
        <w:t xml:space="preserve">Clinical Trial Participation</w:t>
      </w:r>
    </w:p>
    <w:p>
      <w:pPr>
        <w:pStyle w:val="BodyText"/>
      </w:pPr>
      <w:r>
        <w:t xml:space="preserve">15 hospitals</w:t>
      </w:r>
    </w:p>
    <w:p>
      <w:pPr>
        <w:pStyle w:val="BodyText"/>
      </w:pPr>
      <w:r>
        <w:t xml:space="preserve">9 hospitals</w:t>
      </w:r>
    </w:p>
    <w:p>
      <w:pPr>
        <w:pStyle w:val="BodyText"/>
      </w:pPr>
      <w:r>
        <w:t xml:space="preserve">+66.7%</w:t>
      </w:r>
    </w:p>
    <w:bookmarkEnd w:id="22"/>
    <w:bookmarkStart w:id="23" w:name="surgeon-centric-product-performance"/>
    <w:p>
      <w:pPr>
        <w:pStyle w:val="Heading3"/>
      </w:pPr>
      <w:r>
        <w:t xml:space="preserve">Surgeon-Centric Product Performance</w:t>
      </w:r>
    </w:p>
    <w:p>
      <w:pPr>
        <w:pStyle w:val="FirstParagraph"/>
      </w:pPr>
      <w:r>
        <w:t xml:space="preserve">Our flagship products demonstrated exceptional adoption among London-based surgeons:</w:t>
      </w:r>
    </w:p>
    <w:p>
      <w:pPr>
        <w:numPr>
          <w:ilvl w:val="0"/>
          <w:numId w:val="1001"/>
        </w:numPr>
        <w:pStyle w:val="Compact"/>
      </w:pPr>
      <w:r>
        <w:rPr>
          <w:bCs/>
          <w:b/>
        </w:rPr>
        <w:t xml:space="preserve">VeriCut™ Precision Scalpel System:</w:t>
      </w:r>
      <w:r>
        <w:t xml:space="preserve"> </w:t>
      </w:r>
      <w:r>
        <w:t xml:space="preserve">45% of all instrument sales (208 units sold to surgeons at St. Thomas' Hospital). Surgeons reported 22% faster tissue incision times during laparoscopic procedures.</w:t>
      </w:r>
    </w:p>
    <w:p>
      <w:pPr>
        <w:numPr>
          <w:ilvl w:val="0"/>
          <w:numId w:val="1001"/>
        </w:numPr>
        <w:pStyle w:val="Compact"/>
      </w:pPr>
      <w:r>
        <w:rPr>
          <w:bCs/>
          <w:b/>
        </w:rPr>
        <w:t xml:space="preserve">SteriSight™ Surgical Microscopes:</w:t>
      </w:r>
      <w:r>
        <w:t xml:space="preserve"> </w:t>
      </w:r>
      <w:r>
        <w:t xml:space="preserve">Record-breaking uptake with 37 units sold to Royal London Hospital's ophthalmology department. Surgeons highlighted a 30% reduction in intraoperative errors during microsurgery.</w:t>
      </w:r>
    </w:p>
    <w:p>
      <w:pPr>
        <w:numPr>
          <w:ilvl w:val="0"/>
          <w:numId w:val="1001"/>
        </w:numPr>
        <w:pStyle w:val="Compact"/>
      </w:pPr>
      <w:r>
        <w:rPr>
          <w:bCs/>
          <w:b/>
        </w:rPr>
        <w:t xml:space="preserve">SmartStitch™ Suturing System:</w:t>
      </w:r>
      <w:r>
        <w:t xml:space="preserve"> </w:t>
      </w:r>
      <w:r>
        <w:t xml:space="preserve">Adopted by 68% of plastic surgeons at private clinics in Mayfair, reducing average procedure time from 42 to 29 minutes per case.</w:t>
      </w:r>
    </w:p>
    <w:bookmarkEnd w:id="23"/>
    <w:bookmarkStart w:id="24" w:name="surgeon-feedback-market-insights"/>
    <w:p>
      <w:pPr>
        <w:pStyle w:val="Heading3"/>
      </w:pPr>
      <w:r>
        <w:t xml:space="preserve">Surgeon Feedback &amp; Market Insights</w:t>
      </w:r>
    </w:p>
    <w:p>
      <w:pPr>
        <w:pStyle w:val="FirstParagraph"/>
      </w:pPr>
      <w:r>
        <w:t xml:space="preserve">Direct engagement with surgeons through our London-based clinical advisory board revealed critical market drivers:</w:t>
      </w:r>
    </w:p>
    <w:p>
      <w:pPr>
        <w:pStyle w:val="BlockText"/>
      </w:pPr>
      <w:r>
        <w:t xml:space="preserve">"The VeriCut™ system has transformed our minimally invasive gynaecological procedures. The reduced tissue trauma directly correlates with shorter patient recovery times – a key metric we track for London's high-pressure operating theatres." - Dr. Eleanor Shaw, Consultant Gynaecologist, Guy's &amp; St Thomas' NHS Foundation Trust</w:t>
      </w:r>
    </w:p>
    <w:p>
      <w:pPr>
        <w:pStyle w:val="FirstParagraph"/>
      </w:pPr>
      <w:r>
        <w:t xml:space="preserve">Additional insights from surgeon interviews include:</w:t>
      </w:r>
    </w:p>
    <w:p>
      <w:pPr>
        <w:numPr>
          <w:ilvl w:val="0"/>
          <w:numId w:val="1002"/>
        </w:numPr>
        <w:pStyle w:val="Compact"/>
      </w:pPr>
      <w:r>
        <w:rPr>
          <w:bCs/>
          <w:b/>
        </w:rPr>
        <w:t xml:space="preserve">Regulatory Alignment:</w:t>
      </w:r>
      <w:r>
        <w:t xml:space="preserve"> </w:t>
      </w:r>
      <w:r>
        <w:t xml:space="preserve">Surgeons increasingly prioritize products with CE Marking and NHS Procurement Framework certification – all SIL products meet these standards.</w:t>
      </w:r>
    </w:p>
    <w:p>
      <w:pPr>
        <w:numPr>
          <w:ilvl w:val="0"/>
          <w:numId w:val="1002"/>
        </w:numPr>
        <w:pStyle w:val="Compact"/>
      </w:pPr>
      <w:r>
        <w:rPr>
          <w:bCs/>
          <w:b/>
        </w:rPr>
        <w:t xml:space="preserve">Training Demand:</w:t>
      </w:r>
      <w:r>
        <w:t xml:space="preserve"> </w:t>
      </w:r>
      <w:r>
        <w:t xml:space="preserve">79% of new surgeon onboards requested in-person training sessions, driving our investment in the London Clinical Academy (opened Q2 2023).</w:t>
      </w:r>
    </w:p>
    <w:p>
      <w:pPr>
        <w:numPr>
          <w:ilvl w:val="0"/>
          <w:numId w:val="1002"/>
        </w:numPr>
        <w:pStyle w:val="Compact"/>
      </w:pPr>
      <w:r>
        <w:rPr>
          <w:bCs/>
          <w:b/>
        </w:rPr>
        <w:t xml:space="preserve">Cost Sensitivity:</w:t>
      </w:r>
      <w:r>
        <w:t xml:space="preserve"> </w:t>
      </w:r>
      <w:r>
        <w:t xml:space="preserve">While surgeons prioritize quality, 65% indicated willingness to pay premium for products that reduce overall procedure costs (e.g., faster turnover times in London's crowded hospitals).</w:t>
      </w:r>
    </w:p>
    <w:bookmarkEnd w:id="24"/>
    <w:bookmarkStart w:id="25" w:name="X314a6789875dc3c60879fba20c4fb23d2420e54"/>
    <w:p>
      <w:pPr>
        <w:pStyle w:val="Heading3"/>
      </w:pPr>
      <w:r>
        <w:t xml:space="preserve">London Market Challenges &amp; Strategic Responses</w:t>
      </w:r>
    </w:p>
    <w:p>
      <w:pPr>
        <w:pStyle w:val="FirstParagraph"/>
      </w:pPr>
      <w:r>
        <w:t xml:space="preserve">Despite strong performance, our London operations encountered unique challenges requiring agile solutions:</w:t>
      </w:r>
    </w:p>
    <w:p>
      <w:pPr>
        <w:numPr>
          <w:ilvl w:val="0"/>
          <w:numId w:val="1003"/>
        </w:numPr>
        <w:pStyle w:val="Compact"/>
      </w:pPr>
      <w:r>
        <w:rPr>
          <w:bCs/>
          <w:b/>
        </w:rPr>
        <w:t xml:space="preserve">Supply Chain Disruptions:</w:t>
      </w:r>
      <w:r>
        <w:t xml:space="preserve"> </w:t>
      </w:r>
      <w:r>
        <w:t xml:space="preserve">Post-Brexit logistics delays impacted component delivery. SIL established a dedicated UK distribution hub in Stratford (London), reducing lead times by 40%.</w:t>
      </w:r>
    </w:p>
    <w:p>
      <w:pPr>
        <w:numPr>
          <w:ilvl w:val="0"/>
          <w:numId w:val="1003"/>
        </w:numPr>
        <w:pStyle w:val="Compact"/>
      </w:pPr>
      <w:r>
        <w:rPr>
          <w:bCs/>
          <w:b/>
        </w:rPr>
        <w:t xml:space="preserve">Competitive Pressure:</w:t>
      </w:r>
      <w:r>
        <w:t xml:space="preserve"> </w:t>
      </w:r>
      <w:r>
        <w:t xml:space="preserve">German rival MedTech Europe intensified price competition in orthopaedic instruments. SIL countered with bundled service packages including free surgeon training and extended warranty.</w:t>
      </w:r>
    </w:p>
    <w:p>
      <w:pPr>
        <w:numPr>
          <w:ilvl w:val="0"/>
          <w:numId w:val="1003"/>
        </w:numPr>
        <w:pStyle w:val="Compact"/>
      </w:pPr>
      <w:r>
        <w:rPr>
          <w:bCs/>
          <w:b/>
        </w:rPr>
        <w:t xml:space="preserve">NHS Budget Constraints:</w:t>
      </w:r>
      <w:r>
        <w:t xml:space="preserve"> </w:t>
      </w:r>
      <w:r>
        <w:t xml:space="preserve">Hospitals deferred non-essential purchases. We pivoted to focus on high-value "cost-saving" products like the SmartStitch™ system, demonstrating 18% ROI per surgical case within 6 months.</w:t>
      </w:r>
    </w:p>
    <w:bookmarkEnd w:id="25"/>
    <w:bookmarkStart w:id="26" w:name="X5136086b8eb5f0350be64e55334ca806c7bda23"/>
    <w:p>
      <w:pPr>
        <w:pStyle w:val="Heading3"/>
      </w:pPr>
      <w:r>
        <w:t xml:space="preserve">Future Outlook for Surgeon Partnerships in London</w:t>
      </w:r>
    </w:p>
    <w:p>
      <w:pPr>
        <w:pStyle w:val="FirstParagraph"/>
      </w:pPr>
      <w:r>
        <w:t xml:space="preserve">Our Q4 strategy centers on deepening surgeon relationships within the United Kingdom London ecosystem through:</w:t>
      </w:r>
    </w:p>
    <w:p>
      <w:pPr>
        <w:numPr>
          <w:ilvl w:val="0"/>
          <w:numId w:val="1004"/>
        </w:numPr>
        <w:pStyle w:val="Compact"/>
      </w:pPr>
      <w:r>
        <w:rPr>
          <w:bCs/>
          <w:b/>
        </w:rPr>
        <w:t xml:space="preserve">London Surgeon Ambassador Program:</w:t>
      </w:r>
      <w:r>
        <w:t xml:space="preserve"> </w:t>
      </w:r>
      <w:r>
        <w:t xml:space="preserve">Formalizing partnerships with 25 leading surgeons to co-develop future products (e.g., neurosurgery tools for Queen Square Hospital).</w:t>
      </w:r>
    </w:p>
    <w:p>
      <w:pPr>
        <w:numPr>
          <w:ilvl w:val="0"/>
          <w:numId w:val="1004"/>
        </w:numPr>
        <w:pStyle w:val="Compact"/>
      </w:pPr>
      <w:r>
        <w:rPr>
          <w:bCs/>
          <w:b/>
        </w:rPr>
        <w:t xml:space="preserve">Digital Integration:</w:t>
      </w:r>
      <w:r>
        <w:t xml:space="preserve"> </w:t>
      </w:r>
      <w:r>
        <w:t xml:space="preserve">Launching SIL Connect – a London-specific platform linking surgical equipment usage data to hospital performance metrics, providing surgeons with actionable insights.</w:t>
      </w:r>
    </w:p>
    <w:p>
      <w:pPr>
        <w:numPr>
          <w:ilvl w:val="0"/>
          <w:numId w:val="1004"/>
        </w:numPr>
        <w:pStyle w:val="Compact"/>
      </w:pPr>
      <w:r>
        <w:rPr>
          <w:bCs/>
          <w:b/>
        </w:rPr>
        <w:t xml:space="preserve">Expansion into Private Sector:</w:t>
      </w:r>
      <w:r>
        <w:t xml:space="preserve"> </w:t>
      </w:r>
      <w:r>
        <w:t xml:space="preserve">Targeting 20 new private clinics in Westminster and Canary Wharf, where surgeons seek premium technology for elective procedures.</w:t>
      </w:r>
    </w:p>
    <w:bookmarkEnd w:id="26"/>
    <w:bookmarkStart w:id="27" w:name="conclusion"/>
    <w:p>
      <w:pPr>
        <w:pStyle w:val="Heading3"/>
      </w:pPr>
      <w:r>
        <w:t xml:space="preserve">Conclusion</w:t>
      </w:r>
    </w:p>
    <w:p>
      <w:pPr>
        <w:pStyle w:val="FirstParagraph"/>
      </w:pPr>
      <w:r>
        <w:t xml:space="preserve">The United Kingdom London market has proven to be the cornerstone of our European growth strategy. This Sales Report confirms that surgeon-centric innovation drives commercial success in one of the world's most demanding healthcare environments. Our Q3 results demonstrate not only increased revenue but also deeper integration into London's surgical community through meaningful partnerships with medical professionals who prioritize patient outcomes above all else.</w:t>
      </w:r>
    </w:p>
    <w:p>
      <w:pPr>
        <w:pStyle w:val="BodyText"/>
      </w:pPr>
      <w:r>
        <w:t xml:space="preserve">As we move toward 2024, SIL remains committed to delivering technology that empowers every surgeon in London to achieve exceptional clinical results. Our continued success hinges on maintaining this surgeon-first approach within the unique context of United Kingdom healthcare – where precision isn't just a feature, but a life-saving necessity.</w:t>
      </w:r>
    </w:p>
    <w:p>
      <w:pPr>
        <w:pStyle w:val="BodyText"/>
      </w:pPr>
      <w:r>
        <w:t xml:space="preserve">Prepared by:</w:t>
      </w:r>
    </w:p>
    <w:p>
      <w:pPr>
        <w:pStyle w:val="BodyText"/>
      </w:pPr>
      <w:r>
        <w:t xml:space="preserve">Alexandra Chen, Regional Sales Director</w:t>
      </w:r>
    </w:p>
    <w:p>
      <w:pPr>
        <w:pStyle w:val="BodyText"/>
      </w:pPr>
      <w:r>
        <w:t xml:space="preserve">Surgical Innovations Ltd. | London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Solutions for London Healthcare Providers</dc:title>
  <dc:creator/>
  <dc:language>en</dc:language>
  <cp:keywords/>
  <dcterms:created xsi:type="dcterms:W3CDTF">2026-07-23T22:55:27Z</dcterms:created>
  <dcterms:modified xsi:type="dcterms:W3CDTF">2026-07-23T22:55:27Z</dcterms:modified>
</cp:coreProperties>
</file>

<file path=docProps/custom.xml><?xml version="1.0" encoding="utf-8"?>
<Properties xmlns="http://schemas.openxmlformats.org/officeDocument/2006/custom-properties" xmlns:vt="http://schemas.openxmlformats.org/officeDocument/2006/docPropsVTypes"/>
</file>