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Practice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c42bf65a6f7671ca31c62b55317411138878153"/>
    <w:p>
      <w:pPr>
        <w:pStyle w:val="Heading1"/>
      </w:pPr>
      <w:r>
        <w:t xml:space="preserve">Comprehensive Sales Report: Surgical Practice Performance Analysis for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comprehensive performance metrics of our premier surgical practice located in Miami, Florida—the vibrant healthcare hub of the United States. The report demonstrates exceptional growth trajectory for our leading Surgeon team within the United States Miami market, achieving a 38% year-over-year increase in procedural volume and generating $12.7 million in revenue during the reporting period. These results position our surgical division as a dominant force in South Florida's healthcare landscape while reinforcing Miami's status as a national destination for advanced surgical care.</w:t>
      </w:r>
    </w:p>
    <w:bookmarkEnd w:id="20"/>
    <w:bookmarkStart w:id="23" w:name="ii.-key-performance-indicators"/>
    <w:p>
      <w:pPr>
        <w:pStyle w:val="Heading2"/>
      </w:pPr>
      <w:r>
        <w:t xml:space="preserve">II. Key Performance Indicators</w:t>
      </w:r>
    </w:p>
    <w:bookmarkStart w:id="21" w:name="a.-revenue-streams-analysis"/>
    <w:p>
      <w:pPr>
        <w:pStyle w:val="Heading3"/>
      </w:pPr>
      <w:r>
        <w:t xml:space="preserve">A. Revenue Streams Analysis</w:t>
      </w:r>
    </w:p>
    <w:p>
      <w:pPr>
        <w:pStyle w:val="FirstParagraph"/>
      </w:pPr>
      <w:r>
        <w:t xml:space="preserve">Procedure Category</w:t>
      </w:r>
    </w:p>
    <w:p>
      <w:pPr>
        <w:pStyle w:val="BodyText"/>
      </w:pPr>
      <w:r>
        <w:t xml:space="preserve">Volume (Q1-Q3 2023)</w:t>
      </w:r>
    </w:p>
    <w:p>
      <w:pPr>
        <w:pStyle w:val="BodyText"/>
      </w:pPr>
      <w:r>
        <w:t xml:space="preserve">Revenue Generated ($)</w:t>
      </w:r>
    </w:p>
    <w:p>
      <w:pPr>
        <w:pStyle w:val="BodyText"/>
      </w:pPr>
      <w:r>
        <w:t xml:space="preserve">Growth vs. Prior Year (%)</w:t>
      </w:r>
    </w:p>
    <w:p>
      <w:pPr>
        <w:pStyle w:val="BodyText"/>
      </w:pPr>
      <w:r>
        <w:t xml:space="preserve">Bariatric Surgery</w:t>
      </w:r>
    </w:p>
    <w:p>
      <w:pPr>
        <w:pStyle w:val="BodyText"/>
      </w:pPr>
      <w:r>
        <w:t xml:space="preserve">427</w:t>
      </w:r>
    </w:p>
    <w:p>
      <w:pPr>
        <w:pStyle w:val="BodyText"/>
      </w:pPr>
      <w:r>
        <w:t xml:space="preserve">4,150,000</w:t>
      </w:r>
    </w:p>
    <w:p>
      <w:pPr>
        <w:pStyle w:val="BodyText"/>
      </w:pPr>
      <w:r>
        <w:t xml:space="preserve">32%</w:t>
      </w:r>
    </w:p>
    <w:p>
      <w:pPr>
        <w:pStyle w:val="BodyText"/>
      </w:pPr>
      <w:r>
        <w:t xml:space="preserve">Orthopedic Implants</w:t>
      </w:r>
    </w:p>
    <w:p>
      <w:pPr>
        <w:pStyle w:val="BodyText"/>
      </w:pPr>
      <w:r>
        <w:t xml:space="preserve">3893,815,20041%</w:t>
      </w:r>
    </w:p>
    <w:p>
      <w:pPr>
        <w:pStyle w:val="BodyText"/>
      </w:pPr>
      <w:r>
        <w:t xml:space="preserve">Cosmetic &amp; Reconstructive Surgery</w:t>
      </w:r>
    </w:p>
    <w:p>
      <w:pPr>
        <w:pStyle w:val="BodyText"/>
      </w:pPr>
      <w:r>
        <w:t xml:space="preserve">265</w:t>
      </w:r>
    </w:p>
    <w:p>
      <w:pPr>
        <w:pStyle w:val="BodyText"/>
      </w:pPr>
      <w:r>
        <w:t xml:space="preserve">2,978,500</w:t>
      </w:r>
    </w:p>
    <w:p>
      <w:pPr>
        <w:pStyle w:val="BodyText"/>
      </w:pPr>
      <w:r>
        <w:t xml:space="preserve">49%</w:t>
      </w:r>
    </w:p>
    <w:p>
      <w:pPr>
        <w:pStyle w:val="BodyText"/>
      </w:pPr>
      <w:r>
        <w:t xml:space="preserve">[Data placeholders for other categories]</w:t>
      </w:r>
    </w:p>
    <w:p>
      <w:pPr>
        <w:pStyle w:val="BodyText"/>
      </w:pPr>
      <w:r>
        <w:t xml:space="preserve">The Surgeon team's strategic focus on high-demand specialties—including bariatric surgery and complex orthopedic procedures—has driven 78% of total revenue. Notably, our Miami location reported the highest per-procedure average revenue ($12,500) in the entire United States network, reflecting premium service positioning within South Florida's affluent demographic.</w:t>
      </w:r>
    </w:p>
    <w:bookmarkEnd w:id="21"/>
    <w:bookmarkStart w:id="22" w:name="b.-geographic-market-penetration"/>
    <w:p>
      <w:pPr>
        <w:pStyle w:val="Heading3"/>
      </w:pPr>
      <w:r>
        <w:t xml:space="preserve">B. Geographic Market Penetration</w:t>
      </w:r>
    </w:p>
    <w:p>
      <w:pPr>
        <w:pStyle w:val="FirstParagraph"/>
      </w:pPr>
      <w:r>
        <w:t xml:space="preserve">United States Miami has emerged as our most lucrative market segment (42% of national revenue), surpassing other major metropolitan areas. This dominance stems from:</w:t>
      </w:r>
    </w:p>
    <w:p>
      <w:pPr>
        <w:numPr>
          <w:ilvl w:val="0"/>
          <w:numId w:val="1001"/>
        </w:numPr>
        <w:pStyle w:val="Compact"/>
      </w:pPr>
      <w:r>
        <w:t xml:space="preserve">Strategic partnerships with 12 top-tier hospitals including Jackson Memorial and Baptist Health</w:t>
      </w:r>
    </w:p>
    <w:p>
      <w:pPr>
        <w:numPr>
          <w:ilvl w:val="0"/>
          <w:numId w:val="1001"/>
        </w:numPr>
        <w:pStyle w:val="Compact"/>
      </w:pPr>
      <w:r>
        <w:t xml:space="preserve">Dedicated patient acquisition in the Miami-Dade, Broward, and Palm Beach corridors</w:t>
      </w:r>
    </w:p>
    <w:p>
      <w:pPr>
        <w:numPr>
          <w:ilvl w:val="0"/>
          <w:numId w:val="1001"/>
        </w:numPr>
        <w:pStyle w:val="Compact"/>
      </w:pPr>
      <w:r>
        <w:t xml:space="preserve">Specialized marketing campaigns targeting international medical tourists (28% of surgical volume)</w:t>
      </w:r>
    </w:p>
    <w:bookmarkEnd w:id="22"/>
    <w:bookmarkEnd w:id="23"/>
    <w:bookmarkStart w:id="24" w:name="iii.-surgeon-performance-metrics"/>
    <w:p>
      <w:pPr>
        <w:pStyle w:val="Heading2"/>
      </w:pPr>
      <w:r>
        <w:t xml:space="preserve">III. Surgeon Performance Metrics</w:t>
      </w:r>
    </w:p>
    <w:p>
      <w:pPr>
        <w:pStyle w:val="FirstParagraph"/>
      </w:pPr>
      <w:r>
        <w:rPr>
          <w:bCs/>
          <w:b/>
        </w:rPr>
        <w:t xml:space="preserve">Dr. Elena Rodriguez:</w:t>
      </w:r>
      <w:r>
        <w:t xml:space="preserve"> </w:t>
      </w:r>
      <w:r>
        <w:t xml:space="preserve">Lead Orthopedic Surgeon with 94% patient satisfaction rate and 37% market share in hip replacement procedures across United States Miami.</w:t>
      </w:r>
    </w:p>
    <w:p>
      <w:pPr>
        <w:pStyle w:val="BodyText"/>
      </w:pPr>
      <w:r>
        <w:rPr>
          <w:bCs/>
          <w:b/>
        </w:rPr>
        <w:t xml:space="preserve">Dr. Michael Chen:</w:t>
      </w:r>
      <w:r>
        <w:t xml:space="preserve"> </w:t>
      </w:r>
      <w:r>
        <w:t xml:space="preserve">Bariatric Specialist leading the region's highest-volume gastric sleeve program (528 procedures), achieving a 15% lower complication rate than national averages.</w:t>
      </w:r>
    </w:p>
    <w:p>
      <w:pPr>
        <w:pStyle w:val="BodyText"/>
      </w:pPr>
      <w:r>
        <w:t xml:space="preserve">The Surgeon team collectively maintained a 96.3% patient retention rate—significantly exceeding the United States healthcare industry benchmark of 87.2%. This exceptional performance stems from personalized post-operative care protocols and our Miami-based concierge medical services, which include bilingual support (Spanish/English) for the local community.</w:t>
      </w:r>
    </w:p>
    <w:bookmarkEnd w:id="24"/>
    <w:bookmarkStart w:id="25" w:name="X50a006a497d897ac0be1f992a81a0014aafba66"/>
    <w:p>
      <w:pPr>
        <w:pStyle w:val="Heading2"/>
      </w:pPr>
      <w:r>
        <w:t xml:space="preserve">IV. Market Dynamics: United States Miami Context</w:t>
      </w:r>
    </w:p>
    <w:p>
      <w:pPr>
        <w:pStyle w:val="FirstParagraph"/>
      </w:pPr>
      <w:r>
        <w:t xml:space="preserve">Miami's unique position as a cultural melting pot with over 40% Hispanic population and high international patient influx creates distinct advantages for our surgical practice. The Sales Report identifies three critical market drivers:</w:t>
      </w:r>
    </w:p>
    <w:p>
      <w:pPr>
        <w:numPr>
          <w:ilvl w:val="0"/>
          <w:numId w:val="1002"/>
        </w:numPr>
        <w:pStyle w:val="Compact"/>
      </w:pPr>
      <w:r>
        <w:rPr>
          <w:bCs/>
          <w:b/>
        </w:rPr>
        <w:t xml:space="preserve">Demographic Shift:</w:t>
      </w:r>
      <w:r>
        <w:t xml:space="preserve"> </w:t>
      </w:r>
      <w:r>
        <w:t xml:space="preserve">Aging population (28% aged 55+) increases demand for joint replacements and cardiac procedures</w:t>
      </w:r>
    </w:p>
    <w:p>
      <w:pPr>
        <w:numPr>
          <w:ilvl w:val="0"/>
          <w:numId w:val="1002"/>
        </w:numPr>
        <w:pStyle w:val="Compact"/>
      </w:pPr>
      <w:r>
        <w:rPr>
          <w:bCs/>
          <w:b/>
        </w:rPr>
        <w:t xml:space="preserve">Tourism Integration:</w:t>
      </w:r>
      <w:r>
        <w:t xml:space="preserve"> </w:t>
      </w:r>
      <w:r>
        <w:t xml:space="preserve">Medical tourism accounts for $1.7B annually in Miami, with our practice capturing 14.3% of this market</w:t>
      </w:r>
    </w:p>
    <w:p>
      <w:pPr>
        <w:numPr>
          <w:ilvl w:val="0"/>
          <w:numId w:val="1002"/>
        </w:numPr>
        <w:pStyle w:val="Compact"/>
      </w:pPr>
      <w:r>
        <w:rPr>
          <w:bCs/>
          <w:b/>
        </w:rPr>
        <w:t xml:space="preserve">Healthcare Innovation:</w:t>
      </w:r>
      <w:r>
        <w:t xml:space="preserve"> </w:t>
      </w:r>
      <w:r>
        <w:t xml:space="preserve">Miami's status as a hub for surgical robotics adoption (52% of procedures use Da Vinci systems) elevated our technological edge</w:t>
      </w:r>
    </w:p>
    <w:bookmarkEnd w:id="25"/>
    <w:bookmarkStart w:id="26" w:name="v.-strategic-initiatives-sales-impact"/>
    <w:p>
      <w:pPr>
        <w:pStyle w:val="Heading2"/>
      </w:pPr>
      <w:r>
        <w:t xml:space="preserve">V. Strategic Initiatives &amp; Sales Impact</w:t>
      </w:r>
    </w:p>
    <w:p>
      <w:pPr>
        <w:pStyle w:val="FirstParagraph"/>
      </w:pPr>
      <w:r>
        <w:t xml:space="preserve">The Surgeon team implemented three market-specific initiatives that directly contributed to sales growth:</w:t>
      </w:r>
    </w:p>
    <w:p>
      <w:pPr>
        <w:numPr>
          <w:ilvl w:val="0"/>
          <w:numId w:val="1003"/>
        </w:numPr>
        <w:pStyle w:val="Compact"/>
      </w:pPr>
      <w:r>
        <w:rPr>
          <w:bCs/>
          <w:b/>
        </w:rPr>
        <w:t xml:space="preserve">Mobile Surgical Consultation Units:</w:t>
      </w:r>
      <w:r>
        <w:t xml:space="preserve"> </w:t>
      </w:r>
      <w:r>
        <w:t xml:space="preserve">Deployed in underserved neighborhoods (Little Havana, Overtown) generating 18% new patient acquisition</w:t>
      </w:r>
    </w:p>
    <w:p>
      <w:pPr>
        <w:numPr>
          <w:ilvl w:val="0"/>
          <w:numId w:val="1003"/>
        </w:numPr>
        <w:pStyle w:val="Compact"/>
      </w:pPr>
      <w:r>
        <w:rPr>
          <w:bCs/>
          <w:b/>
        </w:rPr>
        <w:t xml:space="preserve">Cosmetic Surgery Package Deals:</w:t>
      </w:r>
      <w:r>
        <w:t xml:space="preserve"> </w:t>
      </w:r>
      <w:r>
        <w:t xml:space="preserve">Bundled procedures with luxury resorts targeting international patients (22% revenue uplift)</w:t>
      </w:r>
    </w:p>
    <w:p>
      <w:pPr>
        <w:numPr>
          <w:ilvl w:val="0"/>
          <w:numId w:val="1003"/>
        </w:numPr>
        <w:pStyle w:val="Compact"/>
      </w:pPr>
      <w:r>
        <w:rPr>
          <w:bCs/>
          <w:b/>
        </w:rPr>
        <w:t xml:space="preserve">Insurance Network Expansion:</w:t>
      </w:r>
      <w:r>
        <w:t xml:space="preserve"> </w:t>
      </w:r>
      <w:r>
        <w:t xml:space="preserve">Secured contracts with 7 additional insurers in the United States Miami region, increasing covered patient access by 34%</w:t>
      </w:r>
    </w:p>
    <w:bookmarkEnd w:id="26"/>
    <w:bookmarkStart w:id="27" w:name="vi.-challenges-mitigation-strategies"/>
    <w:p>
      <w:pPr>
        <w:pStyle w:val="Heading2"/>
      </w:pPr>
      <w:r>
        <w:t xml:space="preserve">VI. Challenges &amp; Mitigation Strategies</w:t>
      </w:r>
    </w:p>
    <w:p>
      <w:pPr>
        <w:pStyle w:val="FirstParagraph"/>
      </w:pPr>
      <w:r>
        <w:t xml:space="preserve">The Sales Report identifies two primary challenges requiring immediate attention:</w:t>
      </w:r>
    </w:p>
    <w:p>
      <w:pPr>
        <w:numPr>
          <w:ilvl w:val="0"/>
          <w:numId w:val="1004"/>
        </w:numPr>
        <w:pStyle w:val="Compact"/>
      </w:pPr>
      <w:r>
        <w:rPr>
          <w:bCs/>
          <w:b/>
        </w:rPr>
        <w:t xml:space="preserve">Rising Supply Chain Costs:</w:t>
      </w:r>
      <w:r>
        <w:t xml:space="preserve"> </w:t>
      </w:r>
      <w:r>
        <w:t xml:space="preserve">Orthopedic implant prices increased 17% YoY, mitigated by bulk purchasing agreements with Medtronic and Zimmer Biomet</w:t>
      </w:r>
    </w:p>
    <w:p>
      <w:pPr>
        <w:numPr>
          <w:ilvl w:val="0"/>
          <w:numId w:val="1004"/>
        </w:numPr>
        <w:pStyle w:val="Compact"/>
      </w:pPr>
      <w:r>
        <w:rPr>
          <w:bCs/>
          <w:b/>
        </w:rPr>
        <w:t xml:space="preserve">Regulatory Compliance Burden:</w:t>
      </w:r>
      <w:r>
        <w:t xml:space="preserve"> </w:t>
      </w:r>
      <w:r>
        <w:t xml:space="preserve">New Florida surgical facility licensing requirements addressed through dedicated compliance officer role (hired Q2 2023)</w:t>
      </w:r>
    </w:p>
    <w:p>
      <w:pPr>
        <w:pStyle w:val="FirstParagraph"/>
      </w:pPr>
      <w:r>
        <w:t xml:space="preserve">Importantly, these challenges were managed without compromising the Surgeon team's service quality—maintaining our 98.1% on-time procedure rate.</w:t>
      </w:r>
    </w:p>
    <w:bookmarkEnd w:id="27"/>
    <w:bookmarkStart w:id="28" w:name="vii.-future-outlook-recommendations"/>
    <w:p>
      <w:pPr>
        <w:pStyle w:val="Heading2"/>
      </w:pPr>
      <w:r>
        <w:t xml:space="preserve">VII. Future Outlook &amp; Recommendations</w:t>
      </w:r>
    </w:p>
    <w:p>
      <w:pPr>
        <w:pStyle w:val="FirstParagraph"/>
      </w:pPr>
      <w:r>
        <w:t xml:space="preserve">Based on current trajectory, United States Miami is projected to generate $18.3 million in surgical revenue by year-end 2023 (47% growth from 2021). We recommend:</w:t>
      </w:r>
    </w:p>
    <w:p>
      <w:pPr>
        <w:numPr>
          <w:ilvl w:val="0"/>
          <w:numId w:val="1005"/>
        </w:numPr>
        <w:pStyle w:val="Compact"/>
      </w:pPr>
      <w:r>
        <w:rPr>
          <w:bCs/>
          <w:b/>
        </w:rPr>
        <w:t xml:space="preserve">Expand Miami-Specific Surgeon Pipeline:</w:t>
      </w:r>
      <w:r>
        <w:t xml:space="preserve"> </w:t>
      </w:r>
      <w:r>
        <w:t xml:space="preserve">Recruit two additional fellowship-trained surgeons specializing in vascular and neurosurgery to capture emerging market segments</w:t>
      </w:r>
    </w:p>
    <w:p>
      <w:pPr>
        <w:numPr>
          <w:ilvl w:val="0"/>
          <w:numId w:val="1005"/>
        </w:numPr>
        <w:pStyle w:val="Compact"/>
      </w:pPr>
      <w:r>
        <w:rPr>
          <w:bCs/>
          <w:b/>
        </w:rPr>
        <w:t xml:space="preserve">Launch Miami Wellness Center:</w:t>
      </w:r>
      <w:r>
        <w:t xml:space="preserve"> </w:t>
      </w:r>
      <w:r>
        <w:t xml:space="preserve">Dedicate $500K for facility expansion targeting preventive care (dental, vision) to increase patient lifetime value</w:t>
      </w:r>
    </w:p>
    <w:p>
      <w:pPr>
        <w:numPr>
          <w:ilvl w:val="0"/>
          <w:numId w:val="1005"/>
        </w:numPr>
        <w:pStyle w:val="Compact"/>
      </w:pPr>
      <w:r>
        <w:rPr>
          <w:bCs/>
          <w:b/>
        </w:rPr>
        <w:t xml:space="preserve">Leverage Miami's Tourism Infrastructure:</w:t>
      </w:r>
      <w:r>
        <w:t xml:space="preserve"> </w:t>
      </w:r>
      <w:r>
        <w:t xml:space="preserve">Partner with major cruise lines (Norwegian Cruise Line, Royal Caribbean) for on-board health screenings</w:t>
      </w:r>
    </w:p>
    <w:bookmarkEnd w:id="28"/>
    <w:bookmarkStart w:id="29" w:name="viii.-conclusion"/>
    <w:p>
      <w:pPr>
        <w:pStyle w:val="Heading2"/>
      </w:pPr>
      <w:r>
        <w:t xml:space="preserve">VIII. Conclusion</w:t>
      </w:r>
    </w:p>
    <w:p>
      <w:pPr>
        <w:pStyle w:val="FirstParagraph"/>
      </w:pPr>
      <w:r>
        <w:t xml:space="preserve">This Sales Report unequivocally establishes the Surgeon practice in United States Miami as a high-performing division within our national network. The strategic combination of medical excellence, market-specific adaptability, and data-driven patient acquisition has created a sustainable growth model that outperforms regional healthcare benchmarks. As Miami continues to evolve as America's premier destination for specialized surgical care, the Surgeon team's performance positions us at the forefront of this $12B Florida healthcare market.</w:t>
      </w:r>
    </w:p>
    <w:p>
      <w:pPr>
        <w:pStyle w:val="BodyText"/>
      </w:pPr>
      <w:r>
        <w:t xml:space="preserve">With continued investment in technology and community-focused service delivery, we project United States Miami will account for 54% of total surgical division revenue by 2025—solidifying our leadership position in one of America's most dynamic healthcare markets. The Surgeon team's commitment to excellence has not only driven commercial success but also elevated patient outcomes across South Florida, embodying the highest standards of medical professionalism.</w:t>
      </w:r>
    </w:p>
    <w:p>
      <w:pPr>
        <w:pStyle w:val="BodyText"/>
      </w:pPr>
      <w:r>
        <w:rPr>
          <w:bCs/>
          <w:b/>
        </w:rPr>
        <w:t xml:space="preserve">Prepared By:</w:t>
      </w:r>
      <w:r>
        <w:t xml:space="preserve"> </w:t>
      </w:r>
      <w:r>
        <w:t xml:space="preserve">Healthcare Revenue Analytics Division</w:t>
      </w:r>
      <w:r>
        <w:br/>
      </w:r>
      <w:r>
        <w:rPr>
          <w:bCs/>
          <w:b/>
        </w:rPr>
        <w:t xml:space="preserve">Contact:</w:t>
      </w:r>
      <w:r>
        <w:t xml:space="preserve"> </w:t>
      </w:r>
      <w:r>
        <w:t xml:space="preserve">revenue.analyst@surgeonmiami.us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Practice Performance in United States Miami</dc:title>
  <dc:creator/>
  <dc:language>en</dc:language>
  <cp:keywords/>
  <dcterms:created xsi:type="dcterms:W3CDTF">2026-07-23T19:22:05Z</dcterms:created>
  <dcterms:modified xsi:type="dcterms:W3CDTF">2026-07-23T19:22:05Z</dcterms:modified>
</cp:coreProperties>
</file>

<file path=docProps/custom.xml><?xml version="1.0" encoding="utf-8"?>
<Properties xmlns="http://schemas.openxmlformats.org/officeDocument/2006/custom-properties" xmlns:vt="http://schemas.openxmlformats.org/officeDocument/2006/docPropsVTypes"/>
</file>