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Medical</w:t>
      </w:r>
      <w:r>
        <w:t xml:space="preserve"> </w:t>
      </w:r>
      <w:r>
        <w:t xml:space="preserve">Services</w:t>
      </w:r>
      <w:r>
        <w:t xml:space="preserve"> </w:t>
      </w:r>
      <w:r>
        <w:t xml:space="preserve">&amp;</w:t>
      </w:r>
      <w:r>
        <w:t xml:space="preserve"> </w:t>
      </w:r>
      <w:r>
        <w:t xml:space="preserve">Surgical</w:t>
      </w:r>
      <w:r>
        <w:t xml:space="preserve"> </w:t>
      </w:r>
      <w:r>
        <w:t xml:space="preserve">Expertise</w:t>
      </w:r>
      <w:r>
        <w:t xml:space="preserve"> </w:t>
      </w:r>
      <w:r>
        <w:t xml:space="preserve">-</w:t>
      </w:r>
      <w:r>
        <w:t xml:space="preserve"> </w:t>
      </w:r>
      <w:r>
        <w:t xml:space="preserve">New</w:t>
      </w:r>
      <w:r>
        <w:t xml:space="preserve"> </w:t>
      </w:r>
      <w:r>
        <w:t xml:space="preserve">York</w:t>
      </w:r>
      <w:r>
        <w:t xml:space="preserve"> </w:t>
      </w:r>
      <w:r>
        <w:t xml:space="preserve">City</w:t>
      </w:r>
    </w:p>
    <w:bookmarkStart w:id="27" w:name="X0814bd37bf8756d756fa8beddf5a9a618fc96b1"/>
    <w:p>
      <w:pPr>
        <w:pStyle w:val="Heading1"/>
      </w:pPr>
      <w:r>
        <w:t xml:space="preserve">Quarterly Sales Performance Report: Advanced Surgical Services in the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Healthcare Solutions Division, Metropolitan Medical Group</w:t>
      </w:r>
    </w:p>
    <w:bookmarkStart w:id="20" w:name="i.-executive-summary"/>
    <w:p>
      <w:pPr>
        <w:pStyle w:val="Heading2"/>
      </w:pPr>
      <w:r>
        <w:t xml:space="preserve">I. Executive Summary</w:t>
      </w:r>
    </w:p>
    <w:p>
      <w:pPr>
        <w:pStyle w:val="FirstParagraph"/>
      </w:pPr>
      <w:r>
        <w:t xml:space="preserve">This report details the performance metrics and strategic insights for advanced surgical services across the United States New York City healthcare ecosystem. It is crucial to clarify that this document pertains to the</w:t>
      </w:r>
      <w:r>
        <w:t xml:space="preserve"> </w:t>
      </w:r>
      <w:r>
        <w:rPr>
          <w:iCs/>
          <w:i/>
        </w:rPr>
        <w:t xml:space="preserve">sale of surgical services, medical technology, and healthcare solutions</w:t>
      </w:r>
      <w:r>
        <w:t xml:space="preserve"> </w:t>
      </w:r>
      <w:r>
        <w:t xml:space="preserve">– not the commodification of physicians. The term "Surgeon" in this context refers to specialized medical professionals whose expertise is delivered through accredited healthcare systems and licensed institutions within New York City. This report demonstrates robust growth in demand for high-acuity surgical care, reflecting NYC's position as a global leader in healthcare innovation and delivery.</w:t>
      </w:r>
    </w:p>
    <w:bookmarkEnd w:id="20"/>
    <w:bookmarkStart w:id="21" w:name="X9207b7f6dcbd4ac11da0b476c82328576a8661f"/>
    <w:p>
      <w:pPr>
        <w:pStyle w:val="Heading2"/>
      </w:pPr>
      <w:r>
        <w:t xml:space="preserve">II. Market Context: Surgeon-Driven Surgical Services in New York City</w:t>
      </w:r>
    </w:p>
    <w:p>
      <w:pPr>
        <w:pStyle w:val="FirstParagraph"/>
      </w:pPr>
      <w:r>
        <w:t xml:space="preserve">New York City represents the epicenter of advanced surgical practice within the United States. The city hosts over 35 major teaching hospitals, 150+ specialized ambulatory surgery centers, and a concentration of board-certified surgeons across all subspecialties (neurosurgery, cardiothoracic, orthopedics, oncology). Demand for these services is driven by: (1) a dense population exceeding 8.3 million residents; (2) significant tourism and business travel; (3) the presence of world-renowned academic medical centers like NYU Langone, Mount Sinai, and New York-Presbyterian; and (4) rising patient expectations for minimally invasive, technology-assisted procedures.</w:t>
      </w:r>
    </w:p>
    <w:p>
      <w:pPr>
        <w:pStyle w:val="BodyText"/>
      </w:pPr>
      <w:r>
        <w:t xml:space="preserve">Crucially, the "surgeon" is not a product for sale but a licensed healthcare provider whose services are integrated into comprehensive care pathways. Our sales strategy focuses on enabling hospitals and surgical centers to attract and retain elite surgeon talent through technology partnerships, operational support, and market-driven service models – directly impacting patient volume and revenue generation.</w:t>
      </w:r>
    </w:p>
    <w:bookmarkEnd w:id="21"/>
    <w:bookmarkStart w:id="22" w:name="Xdedc536c22824b7ddb3228a81e2eeda4d67ea24"/>
    <w:p>
      <w:pPr>
        <w:pStyle w:val="Heading2"/>
      </w:pPr>
      <w:r>
        <w:t xml:space="preserve">III. Sales Performance: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Generated (USD)</w:t>
            </w:r>
          </w:p>
        </w:tc>
        <w:tc>
          <w:tcPr/>
          <w:p>
            <w:pPr>
              <w:pStyle w:val="Compact"/>
              <w:jc w:val="left"/>
            </w:pPr>
            <w:r>
              <w:t xml:space="preserve">YoY Growth</w:t>
            </w:r>
          </w:p>
        </w:tc>
        <w:tc>
          <w:tcPr/>
          <w:p>
            <w:pPr>
              <w:pStyle w:val="Compact"/>
              <w:jc w:val="left"/>
            </w:pPr>
            <w:r>
              <w:t xml:space="preserve">% of Total NYC Sales</w:t>
            </w:r>
          </w:p>
        </w:tc>
      </w:tr>
      <w:tr>
        <w:tc>
          <w:tcPr/>
          <w:p>
            <w:pPr>
              <w:pStyle w:val="Compact"/>
              <w:jc w:val="left"/>
            </w:pPr>
            <w:r>
              <w:t xml:space="preserve">Surgical Robotics &amp; Equipment Leasing (e.g., Da Vinci Systems)</w:t>
            </w:r>
          </w:p>
        </w:tc>
        <w:tc>
          <w:tcPr/>
          <w:p>
            <w:pPr>
              <w:pStyle w:val="Compact"/>
              <w:jc w:val="left"/>
            </w:pPr>
            <w:r>
              <w:t xml:space="preserve">$2,450,000</w:t>
            </w:r>
          </w:p>
        </w:tc>
        <w:tc>
          <w:tcPr/>
          <w:p>
            <w:pPr>
              <w:pStyle w:val="Compact"/>
              <w:jc w:val="left"/>
            </w:pPr>
            <w:r>
              <w:t xml:space="preserve">18.7%</w:t>
            </w:r>
          </w:p>
        </w:tc>
        <w:tc>
          <w:tcPr/>
          <w:p>
            <w:pPr>
              <w:pStyle w:val="Compact"/>
              <w:jc w:val="left"/>
            </w:pPr>
            <w:r>
              <w:t xml:space="preserve">32.1%</w:t>
            </w:r>
          </w:p>
        </w:tc>
      </w:tr>
      <w:tr>
        <w:tc>
          <w:tcPr/>
          <w:p>
            <w:pPr>
              <w:pStyle w:val="Compact"/>
              <w:jc w:val="left"/>
            </w:pPr>
            <w:r>
              <w:t xml:space="preserve">Surgical Center Management &amp; Optimization Services</w:t>
            </w:r>
          </w:p>
        </w:tc>
        <w:tc>
          <w:tcPr/>
          <w:p>
            <w:pPr>
              <w:pStyle w:val="Compact"/>
              <w:jc w:val="left"/>
            </w:pPr>
            <w:r>
              <w:t xml:space="preserve">$1,895,000</w:t>
            </w:r>
          </w:p>
        </w:tc>
        <w:tc>
          <w:tcPr/>
          <w:p>
            <w:pPr>
              <w:pStyle w:val="Compact"/>
              <w:jc w:val="left"/>
            </w:pPr>
            <w:r>
              <w:t xml:space="preserve">24.3%</w:t>
            </w:r>
          </w:p>
        </w:tc>
        <w:tc>
          <w:tcPr/>
          <w:p>
            <w:pPr>
              <w:pStyle w:val="Compact"/>
              <w:jc w:val="left"/>
            </w:pPr>
            <w:r>
              <w:t xml:space="preserve">24.8%</w:t>
            </w:r>
          </w:p>
        </w:tc>
      </w:tr>
      <w:tr>
        <w:tc>
          <w:tcPr/>
          <w:p>
            <w:pPr>
              <w:pStyle w:val="Compact"/>
              <w:jc w:val="left"/>
            </w:pPr>
            <w:r>
              <w:t xml:space="preserve">Telemedicine Integration for Pre/Post-Op Care</w:t>
            </w:r>
          </w:p>
        </w:tc>
        <w:tc>
          <w:tcPr/>
          <w:p>
            <w:pPr>
              <w:pStyle w:val="Compact"/>
              <w:jc w:val="left"/>
            </w:pPr>
            <w:r>
              <w:t xml:space="preserve">$975,000</w:t>
            </w:r>
          </w:p>
        </w:tc>
        <w:tc>
          <w:tcPr/>
          <w:p>
            <w:pPr>
              <w:pStyle w:val="Compact"/>
              <w:jc w:val="left"/>
            </w:pPr>
            <w:r>
              <w:t xml:space="preserve">37.9%</w:t>
            </w:r>
          </w:p>
        </w:tc>
        <w:tc>
          <w:tcPr/>
          <w:p>
            <w:pPr>
              <w:pStyle w:val="Compact"/>
              <w:jc w:val="left"/>
            </w:pPr>
            <w:r>
              <w:t xml:space="preserve">12.8%</w:t>
            </w:r>
          </w:p>
        </w:tc>
      </w:tr>
      <w:tr>
        <w:tc>
          <w:tcPr/>
          <w:p>
            <w:pPr>
              <w:pStyle w:val="Compact"/>
              <w:jc w:val="left"/>
            </w:pPr>
            <w:r>
              <w:t xml:space="preserve">Surgeon Recruitment &amp; Retention Support Programs</w:t>
            </w:r>
          </w:p>
        </w:tc>
        <w:tc>
          <w:tcPr/>
          <w:p>
            <w:pPr>
              <w:pStyle w:val="Compact"/>
              <w:jc w:val="left"/>
            </w:pPr>
            <w:r>
              <w:t xml:space="preserve">$1,620,000</w:t>
            </w:r>
          </w:p>
        </w:tc>
        <w:tc>
          <w:tcPr/>
          <w:p>
            <w:pPr>
              <w:pStyle w:val="Compact"/>
              <w:jc w:val="left"/>
            </w:pPr>
            <w:r>
              <w:t xml:space="preserve">15.2%</w:t>
            </w:r>
          </w:p>
        </w:tc>
        <w:tc>
          <w:tcPr/>
          <w:p>
            <w:pPr>
              <w:pStyle w:val="Compact"/>
              <w:jc w:val="left"/>
            </w:pPr>
            <w:r>
              <w:t xml:space="preserve">21.3%</w:t>
            </w:r>
          </w:p>
        </w:tc>
      </w:tr>
      <w:tr>
        <w:tc>
          <w:tcPr/>
          <w:p>
            <w:pPr>
              <w:pStyle w:val="Compact"/>
              <w:jc w:val="left"/>
            </w:pPr>
            <w:r>
              <w:rPr>
                <w:bCs/>
                <w:b/>
              </w:rPr>
              <w:t xml:space="preserve">Total Sales (Q3 2023)</w:t>
            </w:r>
          </w:p>
        </w:tc>
        <w:tc>
          <w:tcPr/>
          <w:p>
            <w:pPr>
              <w:pStyle w:val="Compact"/>
              <w:jc w:val="left"/>
            </w:pPr>
            <w:r>
              <w:rPr>
                <w:bCs/>
                <w:b/>
              </w:rPr>
              <w:t xml:space="preserve">$6,940,000</w:t>
            </w:r>
          </w:p>
        </w:tc>
        <w:tc>
          <w:tcPr/>
          <w:p>
            <w:pPr>
              <w:pStyle w:val="Compact"/>
              <w:jc w:val="left"/>
            </w:pPr>
            <w:r>
              <w:rPr>
                <w:bCs/>
                <w:b/>
              </w:rPr>
              <w:t xml:space="preserve">19.8%</w:t>
            </w:r>
          </w:p>
        </w:tc>
        <w:tc>
          <w:tcPr/>
          <w:p>
            <w:pPr>
              <w:pStyle w:val="Compact"/>
              <w:jc w:val="left"/>
            </w:pPr>
            <w:r>
              <w:rPr>
                <w:bCs/>
                <w:b/>
              </w:rPr>
              <w:t xml:space="preserve">100%</w:t>
            </w:r>
          </w:p>
        </w:tc>
      </w:tr>
    </w:tbl>
    <w:bookmarkEnd w:id="22"/>
    <w:bookmarkStart w:id="23" w:name="X23f2b24579ee8afde6aa3d64beaa4cda7044b85"/>
    <w:p>
      <w:pPr>
        <w:pStyle w:val="Heading2"/>
      </w:pPr>
      <w:r>
        <w:t xml:space="preserve">IV. Analysis: Surgeon Demand &amp; Market Dynamics in NYC</w:t>
      </w:r>
    </w:p>
    <w:p>
      <w:pPr>
        <w:pStyle w:val="FirstParagraph"/>
      </w:pPr>
      <w:r>
        <w:t xml:space="preserve">The 24.3% YoY growth in Surgical Center Management Services directly correlates with the intense competition for top-tier surgical talent across New York City. Hospitals and private practices are increasingly investing in our platforms to streamline scheduling, enhance surgeon satisfaction, and improve patient throughput – recognizing that a well-supported "Surgeon" is the cornerstone of successful outcomes and reputation.</w:t>
      </w:r>
    </w:p>
    <w:p>
      <w:pPr>
        <w:pStyle w:val="BodyText"/>
      </w:pPr>
      <w:r>
        <w:t xml:space="preserve">Key drivers in the United States New York City market include:</w:t>
      </w:r>
    </w:p>
    <w:p>
      <w:pPr>
        <w:numPr>
          <w:ilvl w:val="0"/>
          <w:numId w:val="1001"/>
        </w:numPr>
        <w:pStyle w:val="Compact"/>
      </w:pPr>
      <w:r>
        <w:rPr>
          <w:bCs/>
          <w:b/>
        </w:rPr>
        <w:t xml:space="preserve">Regulatory Compliance Pressure:</w:t>
      </w:r>
      <w:r>
        <w:t xml:space="preserve"> </w:t>
      </w:r>
      <w:r>
        <w:t xml:space="preserve">NYC's stringent healthcare regulations (e.g., DOHMH mandates) necessitate sophisticated operational support systems, driving demand for our management services.</w:t>
      </w:r>
    </w:p>
    <w:p>
      <w:pPr>
        <w:numPr>
          <w:ilvl w:val="0"/>
          <w:numId w:val="1001"/>
        </w:numPr>
        <w:pStyle w:val="Compact"/>
      </w:pPr>
      <w:r>
        <w:rPr>
          <w:bCs/>
          <w:b/>
        </w:rPr>
        <w:t xml:space="preserve">Patient Experience Imperatives:</w:t>
      </w:r>
      <w:r>
        <w:t xml:space="preserve"> </w:t>
      </w:r>
      <w:r>
        <w:t xml:space="preserve">78% of surveyed NYC patients prioritize surgeon availability and reputation when selecting care, directly impacting facility revenue cycles.</w:t>
      </w:r>
    </w:p>
    <w:p>
      <w:pPr>
        <w:numPr>
          <w:ilvl w:val="0"/>
          <w:numId w:val="1001"/>
        </w:numPr>
        <w:pStyle w:val="Compact"/>
      </w:pPr>
      <w:r>
        <w:rPr>
          <w:bCs/>
          <w:b/>
        </w:rPr>
        <w:t xml:space="preserve">Technology Adoption Acceleration:</w:t>
      </w:r>
      <w:r>
        <w:t xml:space="preserve"> </w:t>
      </w:r>
      <w:r>
        <w:t xml:space="preserve">The 37.9% surge in Telemedicine Integration sales reflects the city's rapid adoption of hybrid care models following pandemic-era shifts, supported by surgeons leveraging these tools.</w:t>
      </w:r>
    </w:p>
    <w:p>
      <w:pPr>
        <w:numPr>
          <w:ilvl w:val="0"/>
          <w:numId w:val="1001"/>
        </w:numPr>
        <w:pStyle w:val="Compact"/>
      </w:pPr>
      <w:r>
        <w:rPr>
          <w:bCs/>
          <w:b/>
        </w:rPr>
        <w:t xml:space="preserve">Talent Shortage Dynamics:</w:t>
      </w:r>
      <w:r>
        <w:t xml:space="preserve"> </w:t>
      </w:r>
      <w:r>
        <w:t xml:space="preserve">New York City faces a documented 12% deficit in specialized surgical staff vs. national average, making our Surgeon Recruitment programs critical for healthcare entities to maintain capacity.</w:t>
      </w:r>
    </w:p>
    <w:bookmarkEnd w:id="23"/>
    <w:bookmarkStart w:id="24" w:name="Xbca34872e0cdd064f3c71f91434766108afb0dd"/>
    <w:p>
      <w:pPr>
        <w:pStyle w:val="Heading2"/>
      </w:pPr>
      <w:r>
        <w:t xml:space="preserve">V. Strategic Initiatives &amp; Future Outlook (Q4 2023 - Q1 2024)</w:t>
      </w:r>
    </w:p>
    <w:p>
      <w:pPr>
        <w:pStyle w:val="FirstParagraph"/>
      </w:pPr>
      <w:r>
        <w:t xml:space="preserve">Based on this robust Q3 performance, we are doubling down on three NYC-specific initiatives:</w:t>
      </w:r>
    </w:p>
    <w:p>
      <w:pPr>
        <w:numPr>
          <w:ilvl w:val="0"/>
          <w:numId w:val="1002"/>
        </w:numPr>
        <w:pStyle w:val="Compact"/>
      </w:pPr>
      <w:r>
        <w:rPr>
          <w:bCs/>
          <w:b/>
        </w:rPr>
        <w:t xml:space="preserve">NYC Surgeon Leadership Summit:</w:t>
      </w:r>
      <w:r>
        <w:t xml:space="preserve"> </w:t>
      </w:r>
      <w:r>
        <w:t xml:space="preserve">Launching November 15th to connect leading surgeons with healthcare administrators and technology partners, fostering ecosystem collaboration. Attendance projected at 450+ NYC-based surgical leaders.</w:t>
      </w:r>
    </w:p>
    <w:p>
      <w:pPr>
        <w:numPr>
          <w:ilvl w:val="0"/>
          <w:numId w:val="1002"/>
        </w:numPr>
        <w:pStyle w:val="Compact"/>
      </w:pPr>
      <w:r>
        <w:rPr>
          <w:bCs/>
          <w:b/>
        </w:rPr>
        <w:t xml:space="preserve">AI-Powered Resource Allocation Tool:</w:t>
      </w:r>
      <w:r>
        <w:t xml:space="preserve"> </w:t>
      </w:r>
      <w:r>
        <w:t xml:space="preserve">A proprietary platform launching Q1 2024 that optimizes surgeon schedule utilization across NYC hospitals, directly addressing the city's unique patient volume peaks and staffing challenges.</w:t>
      </w:r>
    </w:p>
    <w:p>
      <w:pPr>
        <w:numPr>
          <w:ilvl w:val="0"/>
          <w:numId w:val="1002"/>
        </w:numPr>
        <w:pStyle w:val="Compact"/>
      </w:pPr>
      <w:r>
        <w:rPr>
          <w:bCs/>
          <w:b/>
        </w:rPr>
        <w:t xml:space="preserve">Surgical Innovation Incubator Partnership:</w:t>
      </w:r>
      <w:r>
        <w:t xml:space="preserve"> </w:t>
      </w:r>
      <w:r>
        <w:t xml:space="preserve">Formalizing a partnership with NYU Tandon School of Engineering to co-develop next-gen surgical tools, targeting FDA clearance within 18 months for NYC clinical adoption.</w:t>
      </w:r>
    </w:p>
    <w:p>
      <w:pPr>
        <w:pStyle w:val="FirstParagraph"/>
      </w:pPr>
      <w:r>
        <w:t xml:space="preserve">The United States market for advanced surgical solutions is projected to grow at 9.2% CAGR through 2030 (Grand View Research). New York City, with its concentration of innovation hubs and high-value patient populations, will remain the most dynamic segment of this growth. Our sales pipeline for Q4 shows $8.7M in committed contracts – a 31% increase over Q3 – all centered on enhancing surgical service delivery within NYC.</w:t>
      </w:r>
    </w:p>
    <w:bookmarkEnd w:id="24"/>
    <w:bookmarkStart w:id="25" w:name="X966af04632114ca4fe3870aad8d1a69dbe5250d"/>
    <w:p>
      <w:pPr>
        <w:pStyle w:val="Heading2"/>
      </w:pPr>
      <w:r>
        <w:t xml:space="preserve">VI. Ethical &amp; Regulatory Compliance Statement</w:t>
      </w:r>
    </w:p>
    <w:p>
      <w:pPr>
        <w:pStyle w:val="FirstParagraph"/>
      </w:pPr>
      <w:r>
        <w:t xml:space="preserve">Metropolitan Medical Group adheres strictly to the American Medical Association (AMA) Code of Medical Ethics and New York State Education Department regulations regarding healthcare services. We explicitly state:</w:t>
      </w:r>
      <w:r>
        <w:t xml:space="preserve"> </w:t>
      </w:r>
      <w:r>
        <w:rPr>
          <w:iCs/>
          <w:i/>
        </w:rPr>
        <w:t xml:space="preserve">No physician is "sold." Our solutions empower healthcare institutions to effectively manage, support, and deliver the highest quality surgical care through their licensed surgeons within the legal framework of United States New York City.</w:t>
      </w:r>
      <w:r>
        <w:t xml:space="preserve"> </w:t>
      </w:r>
      <w:r>
        <w:t xml:space="preserve">All sales activities comply with federal anti-kickback statutes (42 U.S.C. § 1320a-7b) and NYC-specific healthcare marketing guidelines.</w:t>
      </w:r>
    </w:p>
    <w:bookmarkEnd w:id="25"/>
    <w:bookmarkStart w:id="26" w:name="vii.-conclusion"/>
    <w:p>
      <w:pPr>
        <w:pStyle w:val="Heading2"/>
      </w:pPr>
      <w:r>
        <w:t xml:space="preserve">VII. Conclusion</w:t>
      </w:r>
    </w:p>
    <w:p>
      <w:pPr>
        <w:pStyle w:val="FirstParagraph"/>
      </w:pPr>
      <w:r>
        <w:t xml:space="preserve">The Q3 2023 sales performance underscores a thriving market for technology-enabled surgical solutions within New York City, the United States' most complex and high-stakes healthcare environment. Demand is fueled not by commodifying surgeons, but by recognizing that exceptional surgical outcomes require sophisticated support systems – systems our company provides. The strategic alignment of surgeon expertise with operational excellence and cutting-edge technology is driving measurable revenue growth across all service lines.</w:t>
      </w:r>
    </w:p>
    <w:p>
      <w:pPr>
        <w:pStyle w:val="BodyText"/>
      </w:pPr>
      <w:r>
        <w:t xml:space="preserve">As New York City continues to set the standard for global surgical innovation, our sales focus remains steadfast on developing partnerships that enhance the delivery of care by surgeons – ensuring patients receive optimal treatment while healthcare systems achieve sustainable success. We project continued double-digit growth in surgical services sales within NYC through 2024, with strategic investments directly supporting this mission.</w:t>
      </w:r>
    </w:p>
    <w:p>
      <w:pPr>
        <w:pStyle w:val="BodyText"/>
      </w:pPr>
      <w:r>
        <w:rPr>
          <w:bCs/>
          <w:b/>
        </w:rPr>
        <w:t xml:space="preserve">Prepared By:</w:t>
      </w:r>
      <w:r>
        <w:t xml:space="preserve"> </w:t>
      </w:r>
      <w:r>
        <w:t xml:space="preserve">Jane Reynolds, Vice President of Sales &amp; Strategy</w:t>
      </w:r>
      <w:r>
        <w:br/>
      </w:r>
      <w:r>
        <w:rPr>
          <w:bCs/>
          <w:b/>
        </w:rPr>
        <w:t xml:space="preserve">Contact:</w:t>
      </w:r>
      <w:r>
        <w:t xml:space="preserve"> </w:t>
      </w:r>
      <w:r>
        <w:t xml:space="preserve">j.reynolds@metropolitamedicalgroup.com | (212)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Medical Services &amp; Surgical Expertise - New York City</dc:title>
  <dc:creator/>
  <dc:language>en</dc:language>
  <cp:keywords/>
  <dcterms:created xsi:type="dcterms:W3CDTF">2026-07-25T00:04:59Z</dcterms:created>
  <dcterms:modified xsi:type="dcterms:W3CDTF">2026-07-25T00:04:59Z</dcterms:modified>
</cp:coreProperties>
</file>

<file path=docProps/custom.xml><?xml version="1.0" encoding="utf-8"?>
<Properties xmlns="http://schemas.openxmlformats.org/officeDocument/2006/custom-properties" xmlns:vt="http://schemas.openxmlformats.org/officeDocument/2006/docPropsVTypes"/>
</file>