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Surgeon-Focused</w:t>
      </w:r>
      <w:r>
        <w:t xml:space="preserve"> </w:t>
      </w:r>
      <w:r>
        <w:t xml:space="preserve">Medical</w:t>
      </w:r>
      <w:r>
        <w:t xml:space="preserve"> </w:t>
      </w:r>
      <w:r>
        <w:t xml:space="preserve">Solutions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4057f6dedb0e8e6ceb8570d26d7806cbcf5483e"/>
    <w:p>
      <w:pPr>
        <w:pStyle w:val="Heading1"/>
      </w:pPr>
      <w:r>
        <w:t xml:space="preserve">Q3 2024 Sales Performance Report: Surgeon-Centric Medical Solutions in United States San Francisco</w:t>
      </w:r>
    </w:p>
    <w:p>
      <w:pPr>
        <w:pStyle w:val="FirstParagraph"/>
      </w:pPr>
      <w:r>
        <w:rPr>
          <w:bCs/>
          <w:b/>
        </w:rPr>
        <w:t xml:space="preserve">Prepared For:</w:t>
      </w:r>
      <w:r>
        <w:t xml:space="preserve"> </w:t>
      </w:r>
      <w:r>
        <w:t xml:space="preserve">Executive Leadership, MediVantage Solutions</w:t>
      </w:r>
      <w:r>
        <w:br/>
      </w:r>
      <w:r>
        <w:rPr>
          <w:bCs/>
          <w:b/>
        </w:rPr>
        <w:t xml:space="preserve">Date:</w:t>
      </w:r>
      <w:r>
        <w:t xml:space="preserve"> </w:t>
      </w:r>
      <w:r>
        <w:t xml:space="preserve">October 26, 2024</w:t>
      </w:r>
      <w:r>
        <w:br/>
      </w:r>
      <w:r>
        <w:rPr>
          <w:bCs/>
          <w:b/>
        </w:rPr>
        <w:t xml:space="preserve">Reporting Period:</w:t>
      </w:r>
      <w:r>
        <w:t xml:space="preserve"> </w:t>
      </w:r>
      <w:r>
        <w:t xml:space="preserve">July 1, 2024 - September 30, 2024</w:t>
      </w:r>
    </w:p>
    <w:bookmarkStart w:id="20" w:name="executive-summary"/>
    <w:p>
      <w:pPr>
        <w:pStyle w:val="Heading2"/>
      </w:pPr>
      <w:r>
        <w:t xml:space="preserve">Executive Summary</w:t>
      </w:r>
    </w:p>
    <w:p>
      <w:pPr>
        <w:pStyle w:val="FirstParagraph"/>
      </w:pPr>
      <w:r>
        <w:t xml:space="preserve">The Q3 Sales Report for MediVantage Solutions demonstrates exceptional growth in our surgeon-focused medical technology division within the United States San Francisco market. This period marked a strategic pivot towards high-value surgical instrumentation and AI-assisted diagnostic tools, directly addressing unmet needs identified through deep engagement with leading surgeons across San Francisco's premier healthcare institutions. Total revenue reached $4.2M, representing a 27% year-over-year increase and exceeding our Q3 target by 18%. Crucially, this growth was driven by the adoption of our</w:t>
      </w:r>
      <w:r>
        <w:t xml:space="preserve"> </w:t>
      </w:r>
      <w:r>
        <w:rPr>
          <w:iCs/>
          <w:i/>
        </w:rPr>
        <w:t xml:space="preserve">Surgeon Precision Platform</w:t>
      </w:r>
      <w:r>
        <w:t xml:space="preserve"> </w:t>
      </w:r>
      <w:r>
        <w:t xml:space="preserve">(SPP) by over 450 surgeons in the United States San Francisco region, cementing our position as a critical partner to surgical teams navigating complex healthcare demands.</w:t>
      </w:r>
    </w:p>
    <w:bookmarkEnd w:id="20"/>
    <w:bookmarkStart w:id="21" w:name="X0d093684f8153413c5e09ba2b934498b68bb4db"/>
    <w:p>
      <w:pPr>
        <w:pStyle w:val="Heading2"/>
      </w:pPr>
      <w:r>
        <w:t xml:space="preserve">Market Analysis: The Surgeon Imperative in United States San Francisco</w:t>
      </w:r>
    </w:p>
    <w:p>
      <w:pPr>
        <w:pStyle w:val="FirstParagraph"/>
      </w:pPr>
      <w:r>
        <w:t xml:space="preserve">The United States San Francisco healthcare landscape presents unique dynamics for medical device sales. As the epicenter of biomedical innovation and home to world-renowned institutions like UCSF Medical Center, Stanford Health Care, and Kaiser Permanente San Francisco, the demand for cutting-edge surgical solutions is intense. Surgeons here face unprecedented pressure: managing high-volume trauma cases (notably from our dense urban population), integrating advanced technologies like robotic-assisted surgery into daily practice, and meeting stringent regulatory requirements under California's healthcare framework.</w:t>
      </w:r>
    </w:p>
    <w:p>
      <w:pPr>
        <w:pStyle w:val="BodyText"/>
      </w:pPr>
      <w:r>
        <w:t xml:space="preserve">Our Q3 field intelligence confirms that surgeons prioritize solutions offering tangible clinical outcomes over incremental features. A key finding from our surgeon advisory panel (comprising 12 leading San Francisco-based cardiothoracic and orthopedic surgeons) revealed that 89% of respondents identified "real-time procedural guidance" as their top unmet need – a direct catalyst for our SPP launch. This localized market understanding, honed through consistent engagement with the United States San Francisco surgical community, was fundamental to our Q3 success.</w:t>
      </w:r>
    </w:p>
    <w:bookmarkEnd w:id="21"/>
    <w:bookmarkStart w:id="22" w:name="X9dda913ea5df88d4bb353fc85a4772c206194a9"/>
    <w:p>
      <w:pPr>
        <w:pStyle w:val="Heading2"/>
      </w:pPr>
      <w:r>
        <w:t xml:space="preserve">Product Performance: Surgeon-Driven Innovation</w:t>
      </w:r>
    </w:p>
    <w:p>
      <w:pPr>
        <w:pStyle w:val="FirstParagraph"/>
      </w:pPr>
      <w:r>
        <w:t xml:space="preserve">Our flagship product line, the Surgeon Precision Platform (SPP), delivered exceptional results in United States San Francisco. The SPP integrates seamlessly with existing operating room systems, providing surgeons with predictive analytics for complex procedures and minimizing intraoperative complications. Key metrics include:</w:t>
      </w:r>
    </w:p>
    <w:p>
      <w:pPr>
        <w:numPr>
          <w:ilvl w:val="0"/>
          <w:numId w:val="1001"/>
        </w:numPr>
        <w:pStyle w:val="Compact"/>
      </w:pPr>
      <w:r>
        <w:rPr>
          <w:bCs/>
          <w:b/>
        </w:rPr>
        <w:t xml:space="preserve">Adoption Rate:</w:t>
      </w:r>
      <w:r>
        <w:t xml:space="preserve"> </w:t>
      </w:r>
      <w:r>
        <w:t xml:space="preserve">457 surgeons actively using SPP across 32 hospitals in the United States San Francisco metropolitan area (including community hospitals like St. Francis and regional centers like California Pacific Medical Center).</w:t>
      </w:r>
    </w:p>
    <w:p>
      <w:pPr>
        <w:numPr>
          <w:ilvl w:val="0"/>
          <w:numId w:val="1001"/>
        </w:numPr>
        <w:pStyle w:val="Compact"/>
      </w:pPr>
      <w:r>
        <w:rPr>
          <w:bCs/>
          <w:b/>
        </w:rPr>
        <w:t xml:space="preserve">Clinical Impact:</w:t>
      </w:r>
      <w:r>
        <w:t xml:space="preserve"> </w:t>
      </w:r>
      <w:r>
        <w:t xml:space="preserve">Early user data shows a 19% average reduction in procedure time for complex joint replacements and a 24% decrease in post-operative complications, directly translating to surgeon satisfaction and hospital cost savings.</w:t>
      </w:r>
    </w:p>
    <w:p>
      <w:pPr>
        <w:numPr>
          <w:ilvl w:val="0"/>
          <w:numId w:val="1001"/>
        </w:numPr>
        <w:pStyle w:val="Compact"/>
      </w:pPr>
      <w:r>
        <w:rPr>
          <w:bCs/>
          <w:b/>
        </w:rPr>
        <w:t xml:space="preserve">Sales Velocity:</w:t>
      </w:r>
      <w:r>
        <w:t xml:space="preserve"> </w:t>
      </w:r>
      <w:r>
        <w:t xml:space="preserve">Average sales cycle reduced from 120 to 68 days, driven by surgeons' peer recommendations. The SPP achieved a &gt;75% close rate in San Francisco-focused sales calls.</w:t>
      </w:r>
    </w:p>
    <w:p>
      <w:pPr>
        <w:pStyle w:val="FirstParagraph"/>
      </w:pPr>
      <w:r>
        <w:t xml:space="preserve">Complementing the SPP, our complementary product line – including the "Surgical Insight" AI module and "PrecisionGrip" disposable instruments – saw 32% YoY growth. Surgeons specifically highlighted how these tools reduced hand fatigue during lengthy procedures and provided actionable data for pre-operative planning, a critical factor in high-demand United States San Francisco surgical environments.</w:t>
      </w:r>
    </w:p>
    <w:bookmarkEnd w:id="22"/>
    <w:bookmarkStart w:id="23" w:name="Xb41d68b18d06056439722749ed1e1fd22b3eccc"/>
    <w:p>
      <w:pPr>
        <w:pStyle w:val="Heading2"/>
      </w:pPr>
      <w:r>
        <w:t xml:space="preserve">Regional Sales Strategy: Engaging the Surgeon Community</w:t>
      </w:r>
    </w:p>
    <w:p>
      <w:pPr>
        <w:pStyle w:val="FirstParagraph"/>
      </w:pPr>
      <w:r>
        <w:t xml:space="preserve">The success of this quarter was not accidental; it stemmed from a meticulously crafted regional strategy centered on the surgeon. Unlike traditional enterprise sales tactics, our San Francisco team adopted a "Surgeon Partner" model:</w:t>
      </w:r>
    </w:p>
    <w:p>
      <w:pPr>
        <w:numPr>
          <w:ilvl w:val="0"/>
          <w:numId w:val="1002"/>
        </w:numPr>
        <w:pStyle w:val="Compact"/>
      </w:pPr>
      <w:r>
        <w:rPr>
          <w:bCs/>
          <w:b/>
        </w:rPr>
        <w:t xml:space="preserve">Hyper-Local Presence:</w:t>
      </w:r>
      <w:r>
        <w:t xml:space="preserve"> </w:t>
      </w:r>
      <w:r>
        <w:t xml:space="preserve">Established dedicated field reps based in the Mission District (within 10 miles of all major teaching hospitals), enabling daily surgeon interactions during pre-op rounds and lunch meetings.</w:t>
      </w:r>
    </w:p>
    <w:p>
      <w:pPr>
        <w:numPr>
          <w:ilvl w:val="0"/>
          <w:numId w:val="1002"/>
        </w:numPr>
        <w:pStyle w:val="Compact"/>
      </w:pPr>
      <w:r>
        <w:rPr>
          <w:bCs/>
          <w:b/>
        </w:rPr>
        <w:t xml:space="preserve">Clinical Co-Creation:</w:t>
      </w:r>
      <w:r>
        <w:t xml:space="preserve"> </w:t>
      </w:r>
      <w:r>
        <w:t xml:space="preserve">Partnered with surgeons at UCSF to pilot new SPP features, ensuring product development directly addressed surgical pain points observed on the ground in San Francisco.</w:t>
      </w:r>
    </w:p>
    <w:p>
      <w:pPr>
        <w:numPr>
          <w:ilvl w:val="0"/>
          <w:numId w:val="1002"/>
        </w:numPr>
        <w:pStyle w:val="Compact"/>
      </w:pPr>
      <w:r>
        <w:rPr>
          <w:bCs/>
          <w:b/>
        </w:rPr>
        <w:t xml:space="preserve">Value-Based Pricing:</w:t>
      </w:r>
      <w:r>
        <w:t xml:space="preserve"> </w:t>
      </w:r>
      <w:r>
        <w:t xml:space="preserve">Structured contracts around outcome metrics (reduced complication rates, shorter OR times), aligning our success directly with the surgeon's operational and clinical goals – a model highly resonant with California hospital administrators.</w:t>
      </w:r>
    </w:p>
    <w:p>
      <w:pPr>
        <w:pStyle w:val="FirstParagraph"/>
      </w:pPr>
      <w:r>
        <w:t xml:space="preserve">This strategy yielded remarkable results: the San Francisco regional team achieved 138% of their Q3 quota, driven almost entirely by new surgeon acquisitions (62% of revenue), not just existing accounts. Crucially, this wasn't about selling a product to a hospital; it was about enabling the</w:t>
      </w:r>
      <w:r>
        <w:t xml:space="preserve"> </w:t>
      </w:r>
      <w:r>
        <w:rPr>
          <w:iCs/>
          <w:i/>
        </w:rPr>
        <w:t xml:space="preserve">surgeon</w:t>
      </w:r>
      <w:r>
        <w:t xml:space="preserve"> </w:t>
      </w:r>
      <w:r>
        <w:t xml:space="preserve">to perform better.</w:t>
      </w:r>
    </w:p>
    <w:bookmarkEnd w:id="23"/>
    <w:bookmarkStart w:id="24" w:name="X3b841db5e62a188c1063a38ee002f03aa090cb2"/>
    <w:p>
      <w:pPr>
        <w:pStyle w:val="Heading2"/>
      </w:pPr>
      <w:r>
        <w:t xml:space="preserve">Challenges and Adaptations in the United States San Francisco Market</w:t>
      </w:r>
    </w:p>
    <w:p>
      <w:pPr>
        <w:pStyle w:val="FirstParagraph"/>
      </w:pPr>
      <w:r>
        <w:t xml:space="preserve">Despite strong performance, we navigated significant regional challenges. The high cost of living in United States San Francisco directly impacted hospital budgets, making price sensitivity a key factor. We adapted by emphasizing long-term value (ROI) through detailed case studies showing SPP's impact on reducing readmissions and optimizing OR utilization – metrics surgeons and administrators both valued highly.</w:t>
      </w:r>
    </w:p>
    <w:p>
      <w:pPr>
        <w:pStyle w:val="BodyText"/>
      </w:pPr>
      <w:r>
        <w:t xml:space="preserve">Additionally, the complex California healthcare regulatory environment required meticulous compliance. Our San Francisco legal team worked directly with hospital compliance officers to ensure all product demonstrations adhered to state-specific guidelines for surgical technology, removing a major barrier to adoption in this critical market.</w:t>
      </w:r>
    </w:p>
    <w:bookmarkEnd w:id="24"/>
    <w:bookmarkStart w:id="25" w:name="X8e951080a7810dfe758a2baa09a13e8e7cc8e0d"/>
    <w:p>
      <w:pPr>
        <w:pStyle w:val="Heading2"/>
      </w:pPr>
      <w:r>
        <w:t xml:space="preserve">Future Outlook: Sustaining Surgeon-Centric Growth</w:t>
      </w:r>
    </w:p>
    <w:p>
      <w:pPr>
        <w:pStyle w:val="FirstParagraph"/>
      </w:pPr>
      <w:r>
        <w:t xml:space="preserve">Based on Q3 momentum, our pipeline for the United States San Francisco market is robust. We project 35% YoY growth for Q4, driven by scheduled launches of the SPP's new "NeuroSight" module (co-developed with Stanford neurosurgeons) and expanded hospital contracts at California Pacific Medical Center. The key to sustaining this trajectory remains our unwavering focus on the</w:t>
      </w:r>
      <w:r>
        <w:t xml:space="preserve"> </w:t>
      </w:r>
      <w:r>
        <w:rPr>
          <w:iCs/>
          <w:i/>
        </w:rPr>
        <w:t xml:space="preserve">surgeon</w:t>
      </w:r>
      <w:r>
        <w:t xml:space="preserve"> </w:t>
      </w:r>
      <w:r>
        <w:t xml:space="preserve">as the central decision-maker.</w:t>
      </w:r>
    </w:p>
    <w:p>
      <w:pPr>
        <w:pStyle w:val="BodyText"/>
      </w:pPr>
      <w:r>
        <w:t xml:space="preserve">We will deepen our engagement through a new "Surgeon Advisory Council" in United States San Francisco, meeting quarterly with top innovators at UCSF and Stanford. This council will provide direct input into R&amp;D, ensuring our products remain at the forefront of surgical needs in this dynamic market. Furthermore, we are investing $500K to establish a dedicated San Francisco "Surgical Innovation Lab" – a physical space where surgeons can test prototypes in realistic environments before full deployment.</w:t>
      </w:r>
    </w:p>
    <w:bookmarkEnd w:id="25"/>
    <w:bookmarkStart w:id="26" w:name="conclusion"/>
    <w:p>
      <w:pPr>
        <w:pStyle w:val="Heading2"/>
      </w:pPr>
      <w:r>
        <w:t xml:space="preserve">Conclusion</w:t>
      </w:r>
    </w:p>
    <w:p>
      <w:pPr>
        <w:pStyle w:val="FirstParagraph"/>
      </w:pPr>
      <w:r>
        <w:t xml:space="preserve">The Q3 Sales Report underscores a fundamental truth for MediVantage Solutions: in the United States San Francisco healthcare ecosystem, success is measured by the surgeon's perspective and outcomes. Our focus on delivering technology that empowers surgeons to perform at their peak – directly addressing their daily challenges in this unique market – has proven to be the most powerful sales strategy possible. The 27% YoY revenue growth isn't just a number; it represents over 450 surgeons across San Francisco choosing MediVantage as their essential partner. This surgeon-centric approach, deeply rooted in understanding the United States San Francisco healthcare landscape, is not merely a tactic for Q3 – it's our sustainable blueprint for market leadership in the highest-value surgical segment of the American healthcare system.</w:t>
      </w:r>
    </w:p>
    <w:p>
      <w:pPr>
        <w:pStyle w:val="BodyText"/>
      </w:pPr>
      <w:r>
        <w:rPr>
          <w:bCs/>
          <w:b/>
        </w:rPr>
        <w:t xml:space="preserve">Appendix Note:</w:t>
      </w:r>
      <w:r>
        <w:t xml:space="preserve"> </w:t>
      </w:r>
      <w:r>
        <w:t xml:space="preserve">This Sales Report details performance specifically within the United States San Francisco metropolitan statistical area (MSA), encompassing San Francisco County and contiguous regions served by our local field team. Performance data excludes rural California markets, where surgeon adoption patterns and procurement cycles differ significantly.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Surgeon-Focused Medical Solutions in United States San Francisco</dc:title>
  <dc:creator/>
  <cp:keywords/>
  <dcterms:created xsi:type="dcterms:W3CDTF">2026-07-24T04:51:54Z</dcterms:created>
  <dcterms:modified xsi:type="dcterms:W3CDTF">2026-07-24T04:51:54Z</dcterms:modified>
</cp:coreProperties>
</file>

<file path=docProps/custom.xml><?xml version="1.0" encoding="utf-8"?>
<Properties xmlns="http://schemas.openxmlformats.org/officeDocument/2006/custom-properties" xmlns:vt="http://schemas.openxmlformats.org/officeDocument/2006/docPropsVTypes"/>
</file>