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Tashkent</w:t>
      </w:r>
      <w:r>
        <w:t xml:space="preserve"> </w:t>
      </w:r>
      <w:r>
        <w:t xml:space="preserve">Healthcare</w:t>
      </w:r>
      <w:r>
        <w:t xml:space="preserve"> </w:t>
      </w:r>
      <w:r>
        <w:t xml:space="preserve">Providers</w:t>
      </w:r>
    </w:p>
    <w:bookmarkStart w:id="27" w:name="Xefb978bece77a0d597655837cf3e7f7faa9138d"/>
    <w:p>
      <w:pPr>
        <w:pStyle w:val="Heading1"/>
      </w:pPr>
      <w:r>
        <w:t xml:space="preserve">Quarterly Sales Report: Advanced Surgical Equipment Solutions in Uzbekistan (Tashkent Focus)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International Executive Board</w:t>
      </w:r>
      <w:r>
        <w:br/>
      </w:r>
      <w:r>
        <w:rPr>
          <w:bCs/>
          <w:b/>
        </w:rPr>
        <w:t xml:space="preserve">Region Covered:</w:t>
      </w:r>
      <w:r>
        <w:t xml:space="preserve"> </w:t>
      </w:r>
      <w:r>
        <w:t xml:space="preserve">Republic of Uzbekistan, with Primary Focus on Tashkent Metropolitan Area</w:t>
      </w:r>
    </w:p>
    <w:bookmarkStart w:id="20" w:name="i.-executive-summary"/>
    <w:p>
      <w:pPr>
        <w:pStyle w:val="Heading2"/>
      </w:pPr>
      <w:r>
        <w:t xml:space="preserve">I. Executive Summary</w:t>
      </w:r>
    </w:p>
    <w:p>
      <w:pPr>
        <w:pStyle w:val="FirstParagraph"/>
      </w:pPr>
      <w:r>
        <w:t xml:space="preserve">This report details the successful market penetration and sales performance of our premium surgical instrumentation suite ("Precision Surgeon" line) within the healthcare ecosystem of Tashkent, Uzbekistan. Despite navigating complex regulatory landscapes and cultural nuances, this segment has achieved a 38% year-over-year growth, establishing us as a key supplier for major hospitals in the capital city. The "Surgeon" product line specifically addresses critical unmet needs identified during our extensive engagement with medical professionals across Tashkent's leading institutions.</w:t>
      </w:r>
    </w:p>
    <w:bookmarkEnd w:id="20"/>
    <w:bookmarkStart w:id="21" w:name="X0a56dfe82da3cb8340c5fc82ab99a84b466a86f"/>
    <w:p>
      <w:pPr>
        <w:pStyle w:val="Heading2"/>
      </w:pPr>
      <w:r>
        <w:t xml:space="preserve">II. Market Context: Uzbekistan's Healthcare Transformation</w:t>
      </w:r>
    </w:p>
    <w:p>
      <w:pPr>
        <w:pStyle w:val="FirstParagraph"/>
      </w:pPr>
      <w:r>
        <w:t xml:space="preserve">The Republic of Uzbekistan, under its visionary "Health for All" initiative, is undergoing a significant modernization of its healthcare infrastructure. Tashkent, as the nation's medical hub and political capital (home to 5% of Uzbekistan's population), is the focal point for this transformation. The Ministry of Health has prioritized upgrading surgical facilities in hospitals like Tashkent Medical University Hospital, City Clinical Hospital No. 1, and the Republican Center for Cardiovascular Surgery. This strategic environment presents a unique opportunity for advanced surgical solutions.</w:t>
      </w:r>
    </w:p>
    <w:p>
      <w:pPr>
        <w:pStyle w:val="BodyText"/>
      </w:pPr>
      <w:r>
        <w:t xml:space="preserve">Crucially, our market research confirmed that Uzbekistani surgeons—often working with limited resources—expressed a strong desire for durable, ergonomic tools that reduce fatigue during lengthy procedures and improve precision outcomes. The term "Surgeon" in our product naming wasn't merely descriptive; it was a deliberate recognition of the medical professional at the heart of every procedure, ensuring our solutions directly addressed their daily challenges.</w:t>
      </w:r>
    </w:p>
    <w:bookmarkEnd w:id="21"/>
    <w:bookmarkStart w:id="22" w:name="X39f9560f698dd2dadf4c752c16ff01a7d654989"/>
    <w:p>
      <w:pPr>
        <w:pStyle w:val="Heading2"/>
      </w:pPr>
      <w:r>
        <w:t xml:space="preserve">III. Sales Performance: Tashkent Focus (Q3 2023)</w:t>
      </w:r>
    </w:p>
    <w:p>
      <w:pPr>
        <w:pStyle w:val="FirstParagraph"/>
      </w:pPr>
      <w:r>
        <w:t xml:space="preserve">Product Category</w:t>
      </w:r>
    </w:p>
    <w:p>
      <w:pPr>
        <w:pStyle w:val="BodyText"/>
      </w:pPr>
      <w:r>
        <w:t xml:space="preserve">Tashkent Hospitals Acquired (Q3)</w:t>
      </w:r>
    </w:p>
    <w:p>
      <w:pPr>
        <w:pStyle w:val="BodyText"/>
      </w:pPr>
      <w:r>
        <w:t xml:space="preserve">Units Sold (Q3)</w:t>
      </w:r>
    </w:p>
    <w:p>
      <w:pPr>
        <w:pStyle w:val="BodyText"/>
      </w:pPr>
      <w:r>
        <w:t xml:space="preserve">Revenue Generated (USD)</w:t>
      </w:r>
    </w:p>
    <w:p>
      <w:pPr>
        <w:pStyle w:val="BodyText"/>
      </w:pPr>
      <w:r>
        <w:t xml:space="preserve">% of Total Uzbekistan Sales</w:t>
      </w:r>
    </w:p>
    <w:p>
      <w:pPr>
        <w:pStyle w:val="BodyText"/>
      </w:pPr>
      <w:r>
        <w:t xml:space="preserve">Precision Surgeon Endoscopic Kits</w:t>
      </w:r>
    </w:p>
    <w:p>
      <w:pPr>
        <w:pStyle w:val="BodyText"/>
      </w:pPr>
      <w:r>
        <w:t xml:space="preserve">8</w:t>
      </w:r>
    </w:p>
    <w:p>
      <w:pPr>
        <w:pStyle w:val="BodyText"/>
      </w:pPr>
      <w:r>
        <w:t xml:space="preserve">47</w:t>
      </w:r>
    </w:p>
    <w:p>
      <w:pPr>
        <w:pStyle w:val="BodyText"/>
      </w:pPr>
      <w:r>
        <w:t xml:space="preserve">$128,500</w:t>
      </w:r>
    </w:p>
    <w:p>
      <w:pPr>
        <w:pStyle w:val="BodyText"/>
      </w:pPr>
      <w:r>
        <w:t xml:space="preserve">42%</w:t>
      </w:r>
    </w:p>
    <w:p>
      <w:pPr>
        <w:pStyle w:val="BodyText"/>
      </w:pPr>
      <w:r>
        <w:br/>
      </w:r>
    </w:p>
    <w:p>
      <w:pPr>
        <w:pStyle w:val="BodyText"/>
      </w:pPr>
      <w:r>
        <w:rPr>
          <w:bCs/>
          <w:b/>
        </w:rPr>
        <w:t xml:space="preserve">Analysis:</w:t>
      </w:r>
      <w:r>
        <w:t xml:space="preserve"> </w:t>
      </w:r>
      <w:r>
        <w:t xml:space="preserve">Tashkent accounted for 68% of our total Uzbekistan sales in Q3 2023. The high adoption rate of the "Precision Surgeon" Endoscopic Kits (the flagship product) is particularly noteworthy. This success stems from direct engagement with lead surgeons at key Tashkent institutions, where we demonstrated how these tools significantly reduce procedure times and improve visualization—critical factors in a healthcare system striving for greater efficiency.</w:t>
      </w:r>
    </w:p>
    <w:bookmarkEnd w:id="22"/>
    <w:bookmarkStart w:id="23" w:name="X04cf884cb2350ac09aea4c9c5f056f2a5b70aca"/>
    <w:p>
      <w:pPr>
        <w:pStyle w:val="Heading2"/>
      </w:pPr>
      <w:r>
        <w:t xml:space="preserve">IV. Key Success Factors: Why "Surgeon" Resonated in Tashkent</w:t>
      </w:r>
    </w:p>
    <w:p>
      <w:pPr>
        <w:pStyle w:val="FirstParagraph"/>
      </w:pPr>
      <w:r>
        <w:t xml:space="preserve">The term "Surgeon" was integral to our communication strategy, not as a product name alone, but as a commitment. Our marketing materials consistently featured statements like: "</w:t>
      </w:r>
      <w:r>
        <w:rPr>
          <w:iCs/>
          <w:i/>
        </w:rPr>
        <w:t xml:space="preserve">Developed with the Surgeon's Needs in Mind</w:t>
      </w:r>
      <w:r>
        <w:t xml:space="preserve">". This resonated deeply with Tashkent-based medical professionals who felt overlooked by international vendors focusing solely on hospital administrators. We demonstrated that our solutions were engineered *by* surgeons, *for* surgeons.</w:t>
      </w:r>
    </w:p>
    <w:p>
      <w:pPr>
        <w:pStyle w:val="BodyText"/>
      </w:pPr>
      <w:r>
        <w:t xml:space="preserve">Specifically, the "Surgeon" line's features directly addressed Tashkent's unique healthcare challenges:</w:t>
      </w:r>
    </w:p>
    <w:p>
      <w:pPr>
        <w:numPr>
          <w:ilvl w:val="0"/>
          <w:numId w:val="1001"/>
        </w:numPr>
        <w:pStyle w:val="Compact"/>
      </w:pPr>
      <w:r>
        <w:rPr>
          <w:bCs/>
          <w:b/>
        </w:rPr>
        <w:t xml:space="preserve">Ergonomic Design:</w:t>
      </w:r>
      <w:r>
        <w:t xml:space="preserve"> </w:t>
      </w:r>
      <w:r>
        <w:t xml:space="preserve">Reduced hand fatigue during long procedures common in resource-constrained settings.</w:t>
      </w:r>
    </w:p>
    <w:p>
      <w:pPr>
        <w:numPr>
          <w:ilvl w:val="0"/>
          <w:numId w:val="1001"/>
        </w:numPr>
        <w:pStyle w:val="Compact"/>
      </w:pPr>
      <w:r>
        <w:rPr>
          <w:bCs/>
          <w:b/>
        </w:rPr>
        <w:t xml:space="preserve">Durable Construction:</w:t>
      </w:r>
      <w:r>
        <w:t xml:space="preserve"> </w:t>
      </w:r>
      <w:r>
        <w:t xml:space="preserve">Withstood rigorous sterilization cycles, minimizing costly replacements for hospitals with tight budgets.</w:t>
      </w:r>
    </w:p>
    <w:p>
      <w:pPr>
        <w:numPr>
          <w:ilvl w:val="0"/>
          <w:numId w:val="1001"/>
        </w:numPr>
        <w:pStyle w:val="Compact"/>
      </w:pPr>
      <w:r>
        <w:rPr>
          <w:bCs/>
          <w:b/>
        </w:rPr>
        <w:t xml:space="preserve">Simplified Training Modules:</w:t>
      </w:r>
      <w:r>
        <w:t xml:space="preserve"> </w:t>
      </w:r>
      <w:r>
        <w:t xml:space="preserve">Developed in Uzbek and English, featuring practical videos tailored for Tashkent surgical teams, accelerating adoption without heavy reliance on expensive foreign trainers.</w:t>
      </w:r>
    </w:p>
    <w:p>
      <w:pPr>
        <w:numPr>
          <w:ilvl w:val="0"/>
          <w:numId w:val="1001"/>
        </w:numPr>
        <w:pStyle w:val="Compact"/>
      </w:pPr>
      <w:r>
        <w:rPr>
          <w:bCs/>
          <w:b/>
        </w:rPr>
        <w:t xml:space="preserve">Local Service Partnerships:</w:t>
      </w:r>
      <w:r>
        <w:t xml:space="preserve"> </w:t>
      </w:r>
      <w:r>
        <w:t xml:space="preserve">Established maintenance hubs within Tashkent with certified technicians, ensuring minimal downtime—a major concern voiced by surgeons at City Hospital No. 3 during our focus groups.</w:t>
      </w:r>
    </w:p>
    <w:bookmarkEnd w:id="23"/>
    <w:bookmarkStart w:id="24" w:name="v.-challenges-mitigation-strategies"/>
    <w:p>
      <w:pPr>
        <w:pStyle w:val="Heading2"/>
      </w:pPr>
      <w:r>
        <w:t xml:space="preserve">V. Challenges &amp; Mitigation Strategies</w:t>
      </w:r>
    </w:p>
    <w:p>
      <w:pPr>
        <w:pStyle w:val="FirstParagraph"/>
      </w:pPr>
      <w:r>
        <w:t xml:space="preserve">Entering the Uzbekistan market required navigating specific hurdles:</w:t>
      </w:r>
    </w:p>
    <w:p>
      <w:pPr>
        <w:numPr>
          <w:ilvl w:val="0"/>
          <w:numId w:val="1002"/>
        </w:numPr>
        <w:pStyle w:val="Compact"/>
      </w:pPr>
      <w:r>
        <w:rPr>
          <w:bCs/>
          <w:b/>
        </w:rPr>
        <w:t xml:space="preserve">Regulatory Hurdles:</w:t>
      </w:r>
      <w:r>
        <w:t xml:space="preserve"> </w:t>
      </w:r>
      <w:r>
        <w:t xml:space="preserve">Navigating the State Sanitary and Epidemiological Service (SSES) certification process was time-consuming. Our local partner, MedTech Central Tashkent, provided critical support, reducing certification time by 30%.</w:t>
      </w:r>
    </w:p>
    <w:p>
      <w:pPr>
        <w:numPr>
          <w:ilvl w:val="0"/>
          <w:numId w:val="1002"/>
        </w:numPr>
        <w:pStyle w:val="Compact"/>
      </w:pPr>
      <w:r>
        <w:rPr>
          <w:bCs/>
          <w:b/>
        </w:rPr>
        <w:t xml:space="preserve">Cultural Nuances:</w:t>
      </w:r>
      <w:r>
        <w:t xml:space="preserve"> </w:t>
      </w:r>
      <w:r>
        <w:t xml:space="preserve">Initial focus on hospital directors rather than surgeons led to slow uptake. We pivoted immediately to engage surgeons directly through workshops at the Tashkent Medical University, a move that catalyzed trust and referrals.</w:t>
      </w:r>
    </w:p>
    <w:bookmarkEnd w:id="24"/>
    <w:bookmarkStart w:id="25" w:name="X5ff87f45f569fbbddf89de52a626027d1a762ac"/>
    <w:p>
      <w:pPr>
        <w:pStyle w:val="Heading2"/>
      </w:pPr>
      <w:r>
        <w:t xml:space="preserve">VI. Future Strategy: Deepening Tashkent Engagement</w:t>
      </w:r>
    </w:p>
    <w:p>
      <w:pPr>
        <w:pStyle w:val="FirstParagraph"/>
      </w:pPr>
      <w:r>
        <w:t xml:space="preserve">Building on Q3's success, our strategy for Q4 2023 and beyond focuses on solidifying our position in Tashkent:</w:t>
      </w:r>
    </w:p>
    <w:p>
      <w:pPr>
        <w:numPr>
          <w:ilvl w:val="0"/>
          <w:numId w:val="1003"/>
        </w:numPr>
        <w:pStyle w:val="Compact"/>
      </w:pPr>
      <w:r>
        <w:rPr>
          <w:bCs/>
          <w:b/>
        </w:rPr>
        <w:t xml:space="preserve">Surgeon Ambassador Program:</w:t>
      </w:r>
      <w:r>
        <w:t xml:space="preserve"> </w:t>
      </w:r>
      <w:r>
        <w:t xml:space="preserve">Recruit 5 leading Tashkent-based surgeons as product advocates. They will provide ongoing feedback, conduct live demonstrations at local hospitals, and represent "Precision Surgeon" in national medical conferences held within Uzbekistan.</w:t>
      </w:r>
    </w:p>
    <w:p>
      <w:pPr>
        <w:numPr>
          <w:ilvl w:val="0"/>
          <w:numId w:val="1003"/>
        </w:numPr>
        <w:pStyle w:val="Compact"/>
      </w:pPr>
      <w:r>
        <w:rPr>
          <w:bCs/>
          <w:b/>
        </w:rPr>
        <w:t xml:space="preserve">Tashkent Innovation Lab:</w:t>
      </w:r>
      <w:r>
        <w:t xml:space="preserve"> </w:t>
      </w:r>
      <w:r>
        <w:t xml:space="preserve">Establish a dedicated space at the Tashkent Medical University with prototype testing areas. This lab will co-develop next-generation tools specifically addressing challenges observed in Tashkent's surgical wards (e.g., adapting for common local pathologies).</w:t>
      </w:r>
    </w:p>
    <w:p>
      <w:pPr>
        <w:numPr>
          <w:ilvl w:val="0"/>
          <w:numId w:val="1003"/>
        </w:numPr>
        <w:pStyle w:val="Compact"/>
      </w:pPr>
      <w:r>
        <w:rPr>
          <w:bCs/>
          <w:b/>
        </w:rPr>
        <w:t xml:space="preserve">Expanded Product Line Launch:</w:t>
      </w:r>
      <w:r>
        <w:t xml:space="preserve"> </w:t>
      </w:r>
      <w:r>
        <w:t xml:space="preserve">Introduce "Surgeon Lite"—a cost-optimized version of our core instrumentation—tailored for regional clinics outside Tashkent but supported by the robust Tashkent service center, leveraging our capital city hub as a distribution engine.</w:t>
      </w:r>
    </w:p>
    <w:bookmarkEnd w:id="25"/>
    <w:bookmarkStart w:id="26" w:name="X8422a9d94de8f089519d23a442481a134784073"/>
    <w:p>
      <w:pPr>
        <w:pStyle w:val="Heading2"/>
      </w:pPr>
      <w:r>
        <w:t xml:space="preserve">VII. Conclusion: A Cornerstone for Uzbekistan's Medical Future</w:t>
      </w:r>
    </w:p>
    <w:p>
      <w:pPr>
        <w:pStyle w:val="FirstParagraph"/>
      </w:pPr>
      <w:r>
        <w:t xml:space="preserve">The "Sales Report" for our Surgical Solutions in Uzbekistan clearly demonstrates that the Tashkent market is not just a sales territory, but the strategic nucleus for our entire Central Asian healthcare initiative. The successful integration of the "Surgeon" product line—understood by medical professionals as a commitment to their profession—has transformed us from an equipment vendor into a trusted partner in Uzbekistan's healthcare modernization journey.</w:t>
      </w:r>
    </w:p>
    <w:p>
      <w:pPr>
        <w:pStyle w:val="BodyText"/>
      </w:pPr>
      <w:r>
        <w:t xml:space="preserve">As we continue to empower surgeons across Tashkent with tools that enhance precision, efficiency, and patient outcomes, the "Surgeon" brand becomes synonymous with excellence within Uzbekistan's medical community. Our Q3 results are a strong indicator of significant market potential. The goal is clear: to be the preferred surgical solutions partner for every hospital in Tashkent and beyond, making a tangible difference in lives saved across Uzbekistan.</w:t>
      </w:r>
    </w:p>
    <w:p>
      <w:pPr>
        <w:pStyle w:val="BodyText"/>
      </w:pPr>
      <w:r>
        <w:rPr>
          <w:bCs/>
          <w:b/>
        </w:rPr>
        <w:t xml:space="preserve">Prepared By:</w:t>
      </w:r>
      <w:r>
        <w:t xml:space="preserve"> </w:t>
      </w:r>
      <w:r>
        <w:t xml:space="preserve">Elena Rakhimova, Regional Sales Director - Central Asia</w:t>
      </w:r>
      <w:r>
        <w:br/>
      </w:r>
      <w:r>
        <w:rPr>
          <w:bCs/>
          <w:b/>
        </w:rPr>
        <w:t xml:space="preserve">Contact:</w:t>
      </w:r>
      <w:r>
        <w:t xml:space="preserve"> </w:t>
      </w:r>
      <w:r>
        <w:t xml:space="preserve">erakhimova@globalmedsolutions.int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Solutions for Tashkent Healthcare Providers</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