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Services</w:t>
      </w:r>
      <w:r>
        <w:t xml:space="preserve"> </w:t>
      </w:r>
      <w:r>
        <w:t xml:space="preserve">&amp;</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65b502986f709776dbbb8102ad03caba689a676"/>
    <w:p>
      <w:pPr>
        <w:pStyle w:val="Heading1"/>
      </w:pPr>
      <w:r>
        <w:t xml:space="preserve">SALES REPORT: SURGEON SERVICES AND MEDICAL EQUIPMENT MARKET ANALYSIS</w:t>
      </w:r>
    </w:p>
    <w:bookmarkStart w:id="28" w:name="X114898102d088939aaf0d8b98da8e2e634f3b39"/>
    <w:p>
      <w:pPr>
        <w:pStyle w:val="Heading2"/>
      </w:pPr>
      <w:r>
        <w:t xml:space="preserve">Vietnam Ho Chi Minh City Market Performance Q3 2023</w:t>
      </w:r>
    </w:p>
    <w:p>
      <w:pPr>
        <w:pStyle w:val="FirstParagraph"/>
      </w:pPr>
      <w:r>
        <w:t xml:space="preserve">Prepared for Executive Leadership | Date: October 26, 2023</w:t>
      </w:r>
    </w:p>
    <w:bookmarkStart w:id="20" w:name="executive-summary"/>
    <w:p>
      <w:pPr>
        <w:pStyle w:val="Heading3"/>
      </w:pPr>
      <w:r>
        <w:t xml:space="preserve">Executive Summary</w:t>
      </w:r>
    </w:p>
    <w:p>
      <w:pPr>
        <w:pStyle w:val="FirstParagraph"/>
      </w:pPr>
      <w:r>
        <w:t xml:space="preserve">This comprehensive Sales Report details the exceptional performance of surgical equipment and services sales across Vietnam Ho Chi Minh City. The Surgeon-focused medical solutions portfolio achieved a remarkable 37% year-over-year growth, significantly outperforming regional healthcare market averages. This surge is directly attributed to targeted engagement with leading hospitals, specialized surgical centers, and premium private clinics throughout Vietnam Ho Chi Minh City where skilled surgeons form the cornerstone of patient care innovation.</w:t>
      </w:r>
    </w:p>
    <w:bookmarkEnd w:id="20"/>
    <w:bookmarkStart w:id="21" w:name="Xd69f38a33dcaa71d4a424e34976e1e8db186e30"/>
    <w:p>
      <w:pPr>
        <w:pStyle w:val="Heading3"/>
      </w:pPr>
      <w:r>
        <w:t xml:space="preserve">Market Context in Vietnam Ho Chi Minh City</w:t>
      </w:r>
    </w:p>
    <w:p>
      <w:pPr>
        <w:pStyle w:val="FirstParagraph"/>
      </w:pPr>
      <w:r>
        <w:t xml:space="preserve">Ho Chi Minh City, as the economic epicenter of Vietnam, houses over 40% of the nation's specialized healthcare facilities. The demand for advanced surgical capabilities has intensified due to rising middle-class populations seeking high-quality medical services. This growth presents a critical opportunity for Sales Report analysis: The Surgeon community in Vietnam Ho Chi Minh City is increasingly prioritizing state-of-the-art equipment, creating unprecedented market momentum. Our strategic focus on the Surgeon as the key decision-maker—rather than hospital administrators alone—has proven decisive in capturing this high-value segment.</w:t>
      </w:r>
    </w:p>
    <w:bookmarkEnd w:id="21"/>
    <w:bookmarkStart w:id="22" w:name="key-sales-performance-metrics-q3-2023"/>
    <w:p>
      <w:pPr>
        <w:pStyle w:val="Heading3"/>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Sales (USD)</w:t>
            </w:r>
          </w:p>
        </w:tc>
        <w:tc>
          <w:tcPr/>
          <w:p>
            <w:pPr>
              <w:pStyle w:val="Compact"/>
              <w:jc w:val="left"/>
            </w:pPr>
            <w:r>
              <w:t xml:space="preserve">YoY Change</w:t>
            </w:r>
          </w:p>
        </w:tc>
        <w:tc>
          <w:tcPr/>
          <w:p>
            <w:pPr>
              <w:pStyle w:val="Compact"/>
              <w:jc w:val="left"/>
            </w:pPr>
            <w:r>
              <w:t xml:space="preserve">Market Share Gain</w:t>
            </w:r>
          </w:p>
        </w:tc>
      </w:tr>
      <w:tr>
        <w:tc>
          <w:tcPr/>
          <w:p>
            <w:pPr>
              <w:pStyle w:val="Compact"/>
              <w:jc w:val="left"/>
            </w:pPr>
            <w:r>
              <w:t xml:space="preserve">Advanced Laparoscopic Systems</w:t>
            </w:r>
          </w:p>
        </w:tc>
        <w:tc>
          <w:tcPr/>
          <w:p>
            <w:pPr>
              <w:pStyle w:val="Compact"/>
              <w:jc w:val="right"/>
            </w:pPr>
            <w:r>
              <w:t xml:space="preserve">$1.85M</w:t>
            </w:r>
          </w:p>
        </w:tc>
        <w:tc>
          <w:tcPr/>
          <w:p>
            <w:pPr>
              <w:pStyle w:val="Compact"/>
              <w:jc w:val="right"/>
            </w:pPr>
            <w:r>
              <w:t xml:space="preserve">+42%</w:t>
            </w:r>
          </w:p>
        </w:tc>
        <w:tc>
          <w:tcPr/>
          <w:p>
            <w:pPr>
              <w:pStyle w:val="Compact"/>
              <w:jc w:val="right"/>
            </w:pPr>
            <w:r>
              <w:t xml:space="preserve">+8.7%</w:t>
            </w:r>
          </w:p>
        </w:tc>
      </w:tr>
      <w:tr>
        <w:tc>
          <w:tcPr/>
          <w:p>
            <w:pPr>
              <w:pStyle w:val="Compact"/>
              <w:jc w:val="left"/>
            </w:pPr>
            <w:r>
              <w:t xml:space="preserve">Robotic Surgery Support Kits</w:t>
            </w:r>
          </w:p>
        </w:tc>
        <w:tc>
          <w:tcPr/>
          <w:p>
            <w:pPr>
              <w:pStyle w:val="Compact"/>
              <w:jc w:val="right"/>
            </w:pPr>
            <w:r>
              <w:t xml:space="preserve">$950K</w:t>
            </w:r>
          </w:p>
        </w:tc>
        <w:tc>
          <w:tcPr/>
          <w:p>
            <w:pPr>
              <w:pStyle w:val="Compact"/>
              <w:jc w:val="right"/>
            </w:pPr>
            <w:r>
              <w:t xml:space="preserve">+34%</w:t>
            </w:r>
          </w:p>
        </w:tc>
        <w:tc>
          <w:tcPr/>
          <w:p>
            <w:pPr>
              <w:pStyle w:val="Compact"/>
              <w:jc w:val="right"/>
            </w:pPr>
            <w:r>
              <w:t xml:space="preserve">+6.2%</w:t>
            </w:r>
          </w:p>
        </w:tc>
      </w:tr>
      <w:tr>
        <w:tc>
          <w:tcPr/>
          <w:p>
            <w:pPr>
              <w:pStyle w:val="Compact"/>
              <w:jc w:val="left"/>
            </w:pPr>
            <w:r>
              <w:t xml:space="preserve">Sterilization &amp; Instrumentation</w:t>
            </w:r>
          </w:p>
        </w:tc>
        <w:tc>
          <w:tcPr/>
          <w:p>
            <w:pPr>
              <w:pStyle w:val="Compact"/>
              <w:jc w:val="right"/>
            </w:pPr>
            <w:r>
              <w:t xml:space="preserve">$675K</w:t>
            </w:r>
          </w:p>
        </w:tc>
        <w:tc>
          <w:tcPr/>
          <w:p>
            <w:pPr>
              <w:pStyle w:val="Compact"/>
              <w:jc w:val="right"/>
            </w:pPr>
            <w:r>
              <w:t xml:space="preserve">+29%</w:t>
            </w:r>
          </w:p>
        </w:tc>
        <w:tc>
          <w:tcPr/>
          <w:p>
            <w:pPr>
              <w:pStyle w:val="Compact"/>
              <w:jc w:val="right"/>
            </w:pPr>
            <w:r>
              <w:t xml:space="preserve">+4.5%</w:t>
            </w:r>
          </w:p>
        </w:tc>
      </w:tr>
      <w:tr>
        <w:tc>
          <w:tcPr/>
          <w:p>
            <w:pPr>
              <w:pStyle w:val="Compact"/>
              <w:jc w:val="left"/>
            </w:pPr>
            <w:r>
              <w:t xml:space="preserve">TOTAL</w:t>
            </w:r>
          </w:p>
        </w:tc>
        <w:tc>
          <w:tcPr/>
          <w:p>
            <w:pPr>
              <w:pStyle w:val="Compact"/>
              <w:jc w:val="right"/>
            </w:pPr>
            <w:r>
              <w:t xml:space="preserve">$3.475M</w:t>
            </w:r>
          </w:p>
        </w:tc>
        <w:tc>
          <w:tcPr/>
          <w:p>
            <w:pPr>
              <w:pStyle w:val="Compact"/>
              <w:jc w:val="right"/>
            </w:pPr>
            <w:r>
              <w:t xml:space="preserve">+37%</w:t>
            </w:r>
          </w:p>
        </w:tc>
        <w:tc>
          <w:tcPr/>
          <w:p>
            <w:pPr>
              <w:pStyle w:val="Compact"/>
              <w:jc w:val="right"/>
            </w:pPr>
            <w:r>
              <w:t xml:space="preserve">+6.9% (vs regional avg)</w:t>
            </w:r>
          </w:p>
        </w:tc>
      </w:tr>
    </w:tbl>
    <w:bookmarkEnd w:id="22"/>
    <w:bookmarkStart w:id="23" w:name="X6eac65376562b8bc997ff5246a202b500c1dbe5"/>
    <w:p>
      <w:pPr>
        <w:pStyle w:val="Heading3"/>
      </w:pPr>
      <w:r>
        <w:t xml:space="preserve">Strategic Success Factors in Vietnam Ho Chi Minh City</w:t>
      </w:r>
    </w:p>
    <w:p>
      <w:pPr>
        <w:pStyle w:val="FirstParagraph"/>
      </w:pPr>
      <w:r>
        <w:t xml:space="preserve">Our Sales Report identifies three critical success drivers for Surgeon-focused sales in Vietnam Ho Chi Minh City:</w:t>
      </w:r>
    </w:p>
    <w:p>
      <w:pPr>
        <w:numPr>
          <w:ilvl w:val="0"/>
          <w:numId w:val="1001"/>
        </w:numPr>
        <w:pStyle w:val="Compact"/>
      </w:pPr>
      <w:r>
        <w:rPr>
          <w:bCs/>
          <w:b/>
        </w:rPr>
        <w:t xml:space="preserve">Surgeon-Centric Engagement:</w:t>
      </w:r>
      <w:r>
        <w:t xml:space="preserve"> </w:t>
      </w:r>
      <w:r>
        <w:t xml:space="preserve">We shifted from hospital-wide pitches to personalized demonstrations with lead Surgeons at top facilities like Cho Ray Hospital and FV Hospital. This approach increased conversion rates by 22% compared to previous strategies.</w:t>
      </w:r>
    </w:p>
    <w:p>
      <w:pPr>
        <w:numPr>
          <w:ilvl w:val="0"/>
          <w:numId w:val="1001"/>
        </w:numPr>
        <w:pStyle w:val="Compact"/>
      </w:pPr>
      <w:r>
        <w:rPr>
          <w:bCs/>
          <w:b/>
        </w:rPr>
        <w:t xml:space="preserve">Localized Regulatory Navigation:</w:t>
      </w:r>
      <w:r>
        <w:t xml:space="preserve"> </w:t>
      </w:r>
      <w:r>
        <w:t xml:space="preserve">Partnering with Vietnam Ho Chi Minh City's Ministry of Health-certified distributors enabled faster approval cycles for new surgical equipment, critical in a market where regulatory compliance often delays sales.</w:t>
      </w:r>
    </w:p>
    <w:p>
      <w:pPr>
        <w:numPr>
          <w:ilvl w:val="0"/>
          <w:numId w:val="1001"/>
        </w:numPr>
        <w:pStyle w:val="Compact"/>
      </w:pPr>
      <w:r>
        <w:rPr>
          <w:bCs/>
          <w:b/>
        </w:rPr>
        <w:t xml:space="preserve">Value-Based Pricing Model:</w:t>
      </w:r>
      <w:r>
        <w:t xml:space="preserve"> </w:t>
      </w:r>
      <w:r>
        <w:t xml:space="preserve">Instead of competing on price, we demonstrated ROI through data showing how our advanced Surgeon tools reduced procedure times by 18% and complication rates by 27% at key Vietnam Ho Chi Minh City hospitals.</w:t>
      </w:r>
    </w:p>
    <w:bookmarkEnd w:id="23"/>
    <w:bookmarkStart w:id="24" w:name="X30c8e6641048bb52cbc72b4625ad97b366b1791"/>
    <w:p>
      <w:pPr>
        <w:pStyle w:val="Heading3"/>
      </w:pPr>
      <w:r>
        <w:t xml:space="preserve">Case Study: Transformation at Thu Duc General Hospital</w:t>
      </w:r>
    </w:p>
    <w:p>
      <w:pPr>
        <w:pStyle w:val="FirstParagraph"/>
      </w:pPr>
      <w:r>
        <w:t xml:space="preserve">Our Sales Report highlights the partnership with Thu Duc General Hospital in Vietnam Ho Chi Minh City. After conducting a comprehensive needs assessment with their surgical team, we implemented our premium laparoscopic system. The Surgeon-led adoption resulted in:</w:t>
      </w:r>
    </w:p>
    <w:p>
      <w:pPr>
        <w:numPr>
          <w:ilvl w:val="0"/>
          <w:numId w:val="1002"/>
        </w:numPr>
        <w:pStyle w:val="Compact"/>
      </w:pPr>
      <w:r>
        <w:t xml:space="preserve">40% increase in minimally invasive procedures within six months</w:t>
      </w:r>
    </w:p>
    <w:p>
      <w:pPr>
        <w:numPr>
          <w:ilvl w:val="0"/>
          <w:numId w:val="1002"/>
        </w:numPr>
        <w:pStyle w:val="Compact"/>
      </w:pPr>
      <w:r>
        <w:t xml:space="preserve">Reduction of average surgery time from 85 to 67 minutes per procedure</w:t>
      </w:r>
    </w:p>
    <w:p>
      <w:pPr>
        <w:numPr>
          <w:ilvl w:val="0"/>
          <w:numId w:val="1002"/>
        </w:numPr>
        <w:pStyle w:val="Compact"/>
      </w:pPr>
      <w:r>
        <w:t xml:space="preserve">First-in-Vietnam recognition for robotic-assisted bariatric surgery (Q2 2023)</w:t>
      </w:r>
    </w:p>
    <w:p>
      <w:pPr>
        <w:pStyle w:val="FirstParagraph"/>
      </w:pPr>
      <w:r>
        <w:t xml:space="preserve">This partnership exemplifies how focusing on the Surgeon's clinical needs—rather than generic hospital procurement—creates sustainable revenue streams and positions our brand as an indispensable partner in Vietnam Ho Chi Minh City's surgical evolution.</w:t>
      </w:r>
    </w:p>
    <w:bookmarkEnd w:id="24"/>
    <w:bookmarkStart w:id="25" w:name="challenges-mitigation-strategies"/>
    <w:p>
      <w:pPr>
        <w:pStyle w:val="Heading3"/>
      </w:pPr>
      <w:r>
        <w:t xml:space="preserve">Challenges &amp; Mitigation Strategies</w:t>
      </w:r>
    </w:p>
    <w:p>
      <w:pPr>
        <w:pStyle w:val="FirstParagraph"/>
      </w:pPr>
      <w:r>
        <w:t xml:space="preserve">While Vietnam Ho Chi Minh City presents exceptional opportunities, our Sales Report identifies key challenges and proactive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Surgeon Sales</w:t>
            </w:r>
          </w:p>
        </w:tc>
        <w:tc>
          <w:tcPr/>
          <w:p>
            <w:pPr>
              <w:pStyle w:val="Compact"/>
              <w:jc w:val="left"/>
            </w:pPr>
            <w:r>
              <w:t xml:space="preserve">Our Response</w:t>
            </w:r>
          </w:p>
        </w:tc>
      </w:tr>
      <w:tr>
        <w:tc>
          <w:tcPr/>
          <w:p>
            <w:pPr>
              <w:pStyle w:val="Compact"/>
              <w:jc w:val="left"/>
            </w:pPr>
            <w:r>
              <w:t xml:space="preserve">Complex import regulations for medical devices</w:t>
            </w:r>
          </w:p>
        </w:tc>
        <w:tc>
          <w:tcPr/>
          <w:p>
            <w:pPr>
              <w:pStyle w:val="Compact"/>
              <w:jc w:val="left"/>
            </w:pPr>
            <w:r>
              <w:t xml:space="preserve">Delayed equipment delivery (avg. 90 days)</w:t>
            </w:r>
          </w:p>
        </w:tc>
        <w:tc>
          <w:tcPr/>
          <w:p>
            <w:pPr>
              <w:pStyle w:val="Compact"/>
              <w:jc w:val="left"/>
            </w:pPr>
            <w:r>
              <w:t xml:space="preserve">Established local assembly partnership with Vietnam Ho Chi Minh City-based MedTech Co., reducing lead times to 45 days</w:t>
            </w:r>
          </w:p>
        </w:tc>
      </w:tr>
      <w:tr>
        <w:tc>
          <w:tcPr/>
          <w:p>
            <w:pPr>
              <w:pStyle w:val="Compact"/>
              <w:jc w:val="left"/>
            </w:pPr>
            <w:r>
              <w:t xml:space="preserve">Surgeon preference for established global brands</w:t>
            </w:r>
          </w:p>
        </w:tc>
        <w:tc>
          <w:tcPr/>
          <w:p>
            <w:pPr>
              <w:pStyle w:val="Compact"/>
              <w:jc w:val="left"/>
            </w:pPr>
            <w:r>
              <w:t xml:space="preserve">Perceived risk in adopting new technology</w:t>
            </w:r>
          </w:p>
        </w:tc>
        <w:tc>
          <w:tcPr/>
          <w:p>
            <w:pPr>
              <w:pStyle w:val="Compact"/>
              <w:jc w:val="left"/>
            </w:pPr>
            <w:r>
              <w:t xml:space="preserve">Implemented "Surgical Innovation Academy" with free training sessions at Vietnam Ho Chi Minh City medical schools, featuring lead Surgeons as instructors</w:t>
            </w:r>
          </w:p>
        </w:tc>
      </w:tr>
    </w:tbl>
    <w:bookmarkEnd w:id="25"/>
    <w:bookmarkStart w:id="26" w:name="future-outlook-strategic-growth-plan"/>
    <w:p>
      <w:pPr>
        <w:pStyle w:val="Heading3"/>
      </w:pPr>
      <w:r>
        <w:t xml:space="preserve">Future Outlook &amp; Strategic Growth Plan</w:t>
      </w:r>
    </w:p>
    <w:p>
      <w:pPr>
        <w:pStyle w:val="FirstParagraph"/>
      </w:pPr>
      <w:r>
        <w:t xml:space="preserve">Based on this Sales Report, we project continued dominance in Vietnam Ho Chi Minh City's Surgeon services market. Our strategic roadmap includes:</w:t>
      </w:r>
    </w:p>
    <w:p>
      <w:pPr>
        <w:numPr>
          <w:ilvl w:val="0"/>
          <w:numId w:val="1003"/>
        </w:numPr>
        <w:pStyle w:val="Compact"/>
      </w:pPr>
      <w:r>
        <w:rPr>
          <w:bCs/>
          <w:b/>
        </w:rPr>
        <w:t xml:space="preserve">Expansion into Tier-2 Cities:</w:t>
      </w:r>
      <w:r>
        <w:t xml:space="preserve"> </w:t>
      </w:r>
      <w:r>
        <w:t xml:space="preserve">Leverage HCMC success to penetrate Da Nang and Hai Phong by Q4 2024, targeting emerging surgical hubs with our Surgeon-accelerated model.</w:t>
      </w:r>
    </w:p>
    <w:p>
      <w:pPr>
        <w:numPr>
          <w:ilvl w:val="0"/>
          <w:numId w:val="1003"/>
        </w:numPr>
        <w:pStyle w:val="Compact"/>
      </w:pPr>
      <w:r>
        <w:rPr>
          <w:bCs/>
          <w:b/>
        </w:rPr>
        <w:t xml:space="preserve">Surgical Data Analytics Platform:</w:t>
      </w:r>
      <w:r>
        <w:t xml:space="preserve"> </w:t>
      </w:r>
      <w:r>
        <w:t xml:space="preserve">Launching a new cloud-based system (Q1 2024) that provides Surgeons in Vietnam Ho Chi Minh City with real-time procedure analytics to demonstrate value—directly addressing surgeon concerns about technology adoption.</w:t>
      </w:r>
    </w:p>
    <w:p>
      <w:pPr>
        <w:numPr>
          <w:ilvl w:val="0"/>
          <w:numId w:val="1003"/>
        </w:numPr>
        <w:pStyle w:val="Compact"/>
      </w:pPr>
      <w:r>
        <w:rPr>
          <w:bCs/>
          <w:b/>
        </w:rPr>
        <w:t xml:space="preserve">Local Surgeon Ambassador Program:</w:t>
      </w:r>
      <w:r>
        <w:t xml:space="preserve"> </w:t>
      </w:r>
      <w:r>
        <w:t xml:space="preserve">Recruiting 50+ top surgeons across Vietnam Ho Chi Minh City to co-develop products and serve as brand advocates, creating authentic market credibility.</w:t>
      </w:r>
    </w:p>
    <w:bookmarkEnd w:id="26"/>
    <w:bookmarkStart w:id="27" w:name="conclusion"/>
    <w:p>
      <w:pPr>
        <w:pStyle w:val="Heading3"/>
      </w:pPr>
      <w:r>
        <w:t xml:space="preserve">Conclusion</w:t>
      </w:r>
    </w:p>
    <w:p>
      <w:pPr>
        <w:pStyle w:val="FirstParagraph"/>
      </w:pPr>
      <w:r>
        <w:t xml:space="preserve">The Sales Report confirms Vietnam Ho Chi Minh City as the most dynamic surgical market in Southeast Asia, with Surgeon demand driving exceptional revenue growth. Our targeted approach—centering sales strategies around the Surgeon's clinical and operational needs—has established us as a category leader. As Vietnam's healthcare infrastructure continues evolving, our commitment to empowering surgeons through innovative solutions positions us for sustained market leadership in Vietnam Ho Chi Minh City and beyond.</w:t>
      </w:r>
    </w:p>
    <w:p>
      <w:pPr>
        <w:pStyle w:val="BodyText"/>
      </w:pPr>
      <w:r>
        <w:t xml:space="preserve">"In Vietnam Ho Chi Minh City, the Surgeon is not just a healthcare provider—they are the catalyst for innovation. Our Sales Report reflects that when we solve for their needs, we unlock exponential growth." — Director of Southeast Asia Sales</w:t>
      </w:r>
    </w:p>
    <w:p>
      <w:pPr>
        <w:pStyle w:val="BodyText"/>
      </w:pPr>
      <w:r>
        <w:t xml:space="preserve">END OF SALES REPORT | TOTAL WORD COUNT: 837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Services &amp; Equipment Market Analysis - Vietnam Ho Chi Minh City</dc:title>
  <dc:creator/>
  <dc:language>en</dc:language>
  <cp:keywords/>
  <dcterms:created xsi:type="dcterms:W3CDTF">2026-07-24T14:22:41Z</dcterms:created>
  <dcterms:modified xsi:type="dcterms:W3CDTF">2026-07-24T14:22:41Z</dcterms:modified>
</cp:coreProperties>
</file>

<file path=docProps/custom.xml><?xml version="1.0" encoding="utf-8"?>
<Properties xmlns="http://schemas.openxmlformats.org/officeDocument/2006/custom-properties" xmlns:vt="http://schemas.openxmlformats.org/officeDocument/2006/docPropsVTypes"/>
</file>