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Systems</w:t>
      </w:r>
      <w:r>
        <w:t xml:space="preserve"> </w:t>
      </w:r>
      <w:r>
        <w:t xml:space="preserve">Engineer</w:t>
      </w:r>
      <w:r>
        <w:t xml:space="preserve"> </w:t>
      </w:r>
      <w:r>
        <w:t xml:space="preserve">Performance</w:t>
      </w:r>
      <w:r>
        <w:t xml:space="preserve"> </w:t>
      </w:r>
      <w:r>
        <w:t xml:space="preserve">in</w:t>
      </w:r>
      <w:r>
        <w:t xml:space="preserve"> </w:t>
      </w:r>
      <w:r>
        <w:t xml:space="preserve">Australia</w:t>
      </w:r>
      <w:r>
        <w:t xml:space="preserve"> </w:t>
      </w:r>
      <w:r>
        <w:t xml:space="preserve">Sydney</w:t>
      </w:r>
    </w:p>
    <w:p>
      <w:pPr>
        <w:pStyle w:val="FirstParagraph"/>
      </w:pPr>
      <w:r>
        <w:t xml:space="preserve">Comprehensive Sales Report: Systems Engineer Performance in Australia Sydney</w:t>
      </w:r>
    </w:p>
    <w:bookmarkStart w:id="20" w:name="executive-summary"/>
    <w:p>
      <w:pPr>
        <w:pStyle w:val="Heading2"/>
      </w:pPr>
      <w:r>
        <w:t xml:space="preserve">Executive Summary</w:t>
      </w:r>
    </w:p>
    <w:p>
      <w:pPr>
        <w:pStyle w:val="FirstParagraph"/>
      </w:pPr>
      <w:r>
        <w:t xml:space="preserve">This quarterly Sales Report details the performance of our Systems Engineering team within the Australia Sydney market. As technology solutions become increasingly complex, the role of the Systems Engineer has evolved from purely technical support to a strategic sales accelerator. This report demonstrates how our Sydney-based Systems Engineers have directly contributed to 34% revenue growth in enterprise accounts during Q2 2023, exceeding regional targets by 18%. The integration of technical expertise with sales strategy has proven indispensable for winning high-value contracts in Australia's competitive IT landscape.</w:t>
      </w:r>
    </w:p>
    <w:p>
      <w:pPr>
        <w:pStyle w:val="BodyText"/>
      </w:pPr>
      <w:r>
        <w:rPr>
          <w:bCs/>
          <w:b/>
        </w:rPr>
        <w:t xml:space="preserve">Key Insight:</w:t>
      </w:r>
      <w:r>
        <w:t xml:space="preserve"> </w:t>
      </w:r>
      <w:r>
        <w:t xml:space="preserve">In the Australia Sydney market, Systems Engineers are no longer support roles—they are revenue-generating assets who bridge technical capabilities with client business outcomes.</w:t>
      </w:r>
    </w:p>
    <w:bookmarkEnd w:id="20"/>
    <w:bookmarkStart w:id="21" w:name="X507ac6494bc2515047c8586ac3a32dd50dfe798"/>
    <w:p>
      <w:pPr>
        <w:pStyle w:val="Heading2"/>
      </w:pPr>
      <w:r>
        <w:t xml:space="preserve">Market Context: Australia Sydney Technology Landscape</w:t>
      </w:r>
    </w:p>
    <w:p>
      <w:pPr>
        <w:pStyle w:val="FirstParagraph"/>
      </w:pPr>
      <w:r>
        <w:t xml:space="preserve">Sydney's technology sector continues to experience robust growth, with the IT services market projected to reach AUD $98 billion by 2025. As a global tech hub, Sydney attracts multinational corporations seeking cloud transformation, cybersecurity solutions, and AI-driven infrastructure. The unique challenges of this Australian market—including stringent data sovereignty requirements under the Privacy Act 1988 and diverse industry verticals (finance, healthcare, government)—demand specialized Systems Engineering expertise.</w:t>
      </w:r>
    </w:p>
    <w:p>
      <w:pPr>
        <w:pStyle w:val="BodyText"/>
      </w:pPr>
      <w:r>
        <w:t xml:space="preserve">Our research shows that 76% of Sydney-based enterprise buyers now require technical validation before finalizing procurement decisions. This trend elevates the Systems Engineer from a back-office function to a critical sales differentiator. In Australia Sydney specifically, the ability to demonstrate localized compliance knowledge (e.g., APRA CPS 234 for financial services) has become non-negotiable in competitive RFPs.</w:t>
      </w:r>
    </w:p>
    <w:bookmarkEnd w:id="21"/>
    <w:bookmarkStart w:id="23" w:name="X3ac794cd036387e7fcf1a434653b5e691295894"/>
    <w:p>
      <w:pPr>
        <w:pStyle w:val="Heading2"/>
      </w:pPr>
      <w:r>
        <w:t xml:space="preserve">Systems Engineer Performance Metrics: Q2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Target</w:t>
            </w:r>
          </w:p>
        </w:tc>
        <w:tc>
          <w:tcPr/>
          <w:p>
            <w:pPr>
              <w:pStyle w:val="Compact"/>
              <w:jc w:val="left"/>
            </w:pPr>
            <w:r>
              <w:t xml:space="preserve">Actual (Sydney)</w:t>
            </w:r>
          </w:p>
        </w:tc>
        <w:tc>
          <w:tcPr/>
          <w:p>
            <w:pPr>
              <w:pStyle w:val="Compact"/>
              <w:jc w:val="left"/>
            </w:pPr>
            <w:r>
              <w:t xml:space="preserve">Variance</w:t>
            </w:r>
          </w:p>
        </w:tc>
      </w:tr>
      <w:tr>
        <w:tc>
          <w:tcPr/>
          <w:p>
            <w:pPr>
              <w:pStyle w:val="Compact"/>
              <w:jc w:val="left"/>
            </w:pPr>
            <w:r>
              <w:t xml:space="preserve">Technical Proposal Success Rate</w:t>
            </w:r>
          </w:p>
        </w:tc>
        <w:tc>
          <w:tcPr/>
          <w:p>
            <w:pPr>
              <w:pStyle w:val="Compact"/>
              <w:jc w:val="left"/>
            </w:pPr>
            <w:r>
              <w:t xml:space="preserve">65%</w:t>
            </w:r>
          </w:p>
        </w:tc>
        <w:tc>
          <w:tcPr/>
          <w:p>
            <w:pPr>
              <w:pStyle w:val="Compact"/>
              <w:jc w:val="left"/>
            </w:pPr>
            <w:r>
              <w:t xml:space="preserve">82%</w:t>
            </w:r>
          </w:p>
        </w:tc>
        <w:tc>
          <w:tcPr/>
          <w:p>
            <w:pPr>
              <w:pStyle w:val="Compact"/>
              <w:jc w:val="left"/>
            </w:pPr>
            <w:r>
              <w:t xml:space="preserve">+17%</w:t>
            </w:r>
          </w:p>
        </w:tc>
      </w:tr>
      <w:tr>
        <w:tc>
          <w:tcPr/>
          <w:p>
            <w:pPr>
              <w:pStyle w:val="Compact"/>
              <w:jc w:val="left"/>
            </w:pPr>
            <w:r>
              <w:t xml:space="preserve">Sales Cycle Reduction</w:t>
            </w:r>
          </w:p>
        </w:tc>
        <w:tc>
          <w:tcPr/>
          <w:p>
            <w:pPr>
              <w:pStyle w:val="Compact"/>
              <w:jc w:val="left"/>
            </w:pPr>
            <w:r>
              <w:t xml:space="preserve">15 days</w:t>
            </w:r>
          </w:p>
        </w:tc>
        <w:tc>
          <w:tcPr/>
          <w:p>
            <w:pPr>
              <w:pStyle w:val="Compact"/>
              <w:jc w:val="left"/>
            </w:pPr>
            <w:r>
              <w:t xml:space="preserve">23 days</w:t>
            </w:r>
          </w:p>
        </w:tc>
        <w:tc>
          <w:tcPr/>
          <w:p>
            <w:pPr>
              <w:pStyle w:val="Compact"/>
              <w:jc w:val="left"/>
            </w:pPr>
            <w:r>
              <w:t xml:space="preserve">-8 days (Faster)</w:t>
            </w:r>
          </w:p>
        </w:tc>
      </w:tr>
      <w:tr>
        <w:tc>
          <w:tcPr/>
          <w:p>
            <w:pPr>
              <w:pStyle w:val="Compact"/>
              <w:jc w:val="left"/>
            </w:pPr>
            <w:r>
              <w:t xml:space="preserve">Client Retention Rate (Enterprise)</w:t>
            </w:r>
          </w:p>
        </w:tc>
        <w:tc>
          <w:tcPr/>
          <w:p>
            <w:pPr>
              <w:pStyle w:val="Compact"/>
              <w:jc w:val="left"/>
            </w:pPr>
            <w:r>
              <w:t xml:space="preserve">90%</w:t>
            </w:r>
          </w:p>
        </w:tc>
        <w:tc>
          <w:tcPr/>
          <w:p>
            <w:pPr>
              <w:pStyle w:val="Compact"/>
              <w:jc w:val="left"/>
            </w:pPr>
            <w:r>
              <w:t xml:space="preserve">96%</w:t>
            </w:r>
          </w:p>
        </w:tc>
        <w:tc>
          <w:tcPr/>
          <w:p>
            <w:pPr>
              <w:pStyle w:val="Compact"/>
              <w:jc w:val="left"/>
            </w:pPr>
            <w:r>
              <w:t xml:space="preserve">+6%</w:t>
            </w:r>
          </w:p>
        </w:tc>
      </w:tr>
      <w:tr>
        <w:tc>
          <w:tcPr/>
          <w:p>
            <w:pPr>
              <w:pStyle w:val="Compact"/>
              <w:jc w:val="left"/>
            </w:pPr>
            <w:r>
              <w:t xml:space="preserve">Solution-Driven Upsell Revenue</w:t>
            </w:r>
          </w:p>
        </w:tc>
        <w:tc>
          <w:tcPr/>
          <w:p>
            <w:pPr>
              <w:pStyle w:val="Compact"/>
              <w:jc w:val="left"/>
            </w:pPr>
            <w:r>
              <w:t xml:space="preserve">AUD $1.2M</w:t>
            </w:r>
          </w:p>
        </w:tc>
        <w:tc>
          <w:tcPr/>
          <w:p>
            <w:pPr>
              <w:pStyle w:val="Compact"/>
              <w:jc w:val="left"/>
            </w:pPr>
            <w:r>
              <w:t xml:space="preserve">AUD $2.3M</w:t>
            </w:r>
          </w:p>
        </w:tc>
        <w:tc>
          <w:tcPr/>
          <w:p>
            <w:pPr>
              <w:pStyle w:val="Compact"/>
              <w:jc w:val="left"/>
            </w:pPr>
            <w:r>
              <w:t xml:space="preserve">+91%</w:t>
            </w:r>
          </w:p>
        </w:tc>
      </w:tr>
      <w:tr>
        <w:tc>
          <w:tcPr/>
          <w:p>
            <w:pPr>
              <w:pStyle w:val="Compact"/>
              <w:jc w:val="left"/>
            </w:pPr>
            <w:r>
              <w:t xml:space="preserve">Compliance Alignment Score (Australia Sydney)</w:t>
            </w:r>
          </w:p>
        </w:tc>
        <w:tc>
          <w:tcPr/>
          <w:p>
            <w:pPr>
              <w:pStyle w:val="Compact"/>
              <w:jc w:val="left"/>
            </w:pPr>
            <w:r>
              <w:t xml:space="preserve">70/100</w:t>
            </w:r>
          </w:p>
        </w:tc>
        <w:tc>
          <w:tcPr/>
          <w:p>
            <w:pPr>
              <w:pStyle w:val="Compact"/>
              <w:jc w:val="left"/>
            </w:pPr>
            <w:r>
              <w:t xml:space="preserve">94/100</w:t>
            </w:r>
          </w:p>
        </w:tc>
        <w:tc>
          <w:tcPr/>
          <w:p>
            <w:pPr>
              <w:pStyle w:val="Compact"/>
              <w:jc w:val="left"/>
            </w:pPr>
            <w:r>
              <w:t xml:space="preserve">+24 points</w:t>
            </w:r>
          </w:p>
        </w:tc>
      </w:tr>
    </w:tbl>
    <w:bookmarkStart w:id="22" w:name="regional-impact-analysis"/>
    <w:p>
      <w:pPr>
        <w:pStyle w:val="Heading3"/>
      </w:pPr>
      <w:r>
        <w:t xml:space="preserve">Regional Impact Analysis</w:t>
      </w:r>
    </w:p>
    <w:p>
      <w:pPr>
        <w:pStyle w:val="FirstParagraph"/>
      </w:pPr>
      <w:r>
        <w:t xml:space="preserve">The Sydney Systems Engineering team achieved 47% higher technical proposal win rates compared to other Australian regions. This success stems from their deep understanding of local regulatory frameworks and industry-specific pain points. For example, when supporting the "Sydney Health Network" account, our Systems Engineer co-designed a HIPAA-compliant cloud migration solution that addressed Australia's specific healthcare data requirements—resulting in a AUD $1.8M contract.</w:t>
      </w:r>
    </w:p>
    <w:bookmarkEnd w:id="22"/>
    <w:bookmarkEnd w:id="23"/>
    <w:bookmarkStart w:id="24" w:name="X9aaa8ad7bcc9c07d59d6cbbec121ca382e6a660"/>
    <w:p>
      <w:pPr>
        <w:pStyle w:val="Heading2"/>
      </w:pPr>
      <w:r>
        <w:t xml:space="preserve">Strategic Value of Systems Engineers in Australia Sydney Sales</w:t>
      </w:r>
    </w:p>
    <w:p>
      <w:pPr>
        <w:pStyle w:val="FirstParagraph"/>
      </w:pPr>
      <w:r>
        <w:t xml:space="preserve">In the Australian market, Systems Engineers directly enable sales teams to:</w:t>
      </w:r>
    </w:p>
    <w:p>
      <w:pPr>
        <w:numPr>
          <w:ilvl w:val="0"/>
          <w:numId w:val="1001"/>
        </w:numPr>
        <w:pStyle w:val="Compact"/>
      </w:pPr>
      <w:r>
        <w:rPr>
          <w:bCs/>
          <w:b/>
        </w:rPr>
        <w:t xml:space="preserve">Demystify Complex Solutions:</w:t>
      </w:r>
      <w:r>
        <w:t xml:space="preserve"> </w:t>
      </w:r>
      <w:r>
        <w:t xml:space="preserve">Translating technical capabilities into business outcomes for non-technical decision-makers across Sydney's diverse enterprise landscape</w:t>
      </w:r>
    </w:p>
    <w:p>
      <w:pPr>
        <w:numPr>
          <w:ilvl w:val="0"/>
          <w:numId w:val="1001"/>
        </w:numPr>
        <w:pStyle w:val="Compact"/>
      </w:pPr>
      <w:r>
        <w:rPr>
          <w:bCs/>
          <w:b/>
        </w:rPr>
        <w:t xml:space="preserve">Navigate Local Compliance:</w:t>
      </w:r>
      <w:r>
        <w:t xml:space="preserve"> </w:t>
      </w:r>
      <w:r>
        <w:t xml:space="preserve">Ensuring solutions meet Australian standards (e.g., Cyber Security Maturity Model, NIST frameworks) before sales presentations</w:t>
      </w:r>
    </w:p>
    <w:p>
      <w:pPr>
        <w:numPr>
          <w:ilvl w:val="0"/>
          <w:numId w:val="1001"/>
        </w:numPr>
        <w:pStyle w:val="Compact"/>
      </w:pPr>
      <w:r>
        <w:rPr>
          <w:bCs/>
          <w:b/>
        </w:rPr>
        <w:t xml:space="preserve">Accelerate Proof-of-Concepts:</w:t>
      </w:r>
      <w:r>
        <w:t xml:space="preserve"> </w:t>
      </w:r>
      <w:r>
        <w:t xml:space="preserve">Reducing time-to-value by 32% through pre-configured Sydney-specific solution templates</w:t>
      </w:r>
    </w:p>
    <w:p>
      <w:pPr>
        <w:numPr>
          <w:ilvl w:val="0"/>
          <w:numId w:val="1001"/>
        </w:numPr>
        <w:pStyle w:val="Compact"/>
      </w:pPr>
      <w:r>
        <w:rPr>
          <w:bCs/>
          <w:b/>
        </w:rPr>
        <w:t xml:space="preserve">Build Trust with Key Stakeholders:</w:t>
      </w:r>
      <w:r>
        <w:t xml:space="preserve"> </w:t>
      </w:r>
      <w:r>
        <w:t xml:space="preserve">Serving as the technical liaison between sales teams and CTOs/IT Directors in major Sydney enterprises</w:t>
      </w:r>
    </w:p>
    <w:p>
      <w:pPr>
        <w:pStyle w:val="FirstParagraph"/>
      </w:pPr>
      <w:r>
        <w:rPr>
          <w:bCs/>
          <w:b/>
        </w:rPr>
        <w:t xml:space="preserve">Case Study: ANZ Bank Sydney Transformation Project</w:t>
      </w:r>
      <w:r>
        <w:br/>
      </w:r>
      <w:r>
        <w:t xml:space="preserve">Our Systems Engineer conducted 14 technical workshops with ANZ's IT leadership, addressing their specific needs for multi-cloud governance under Australian financial regulations. This resulted in a AUD $5.2M contract—the largest single-systems deal won by our team in Australia Sydney history—and established a repeatable process for banking sector sales.</w:t>
      </w:r>
    </w:p>
    <w:bookmarkEnd w:id="24"/>
    <w:bookmarkStart w:id="27" w:name="challenges-and-growth-opportunities"/>
    <w:p>
      <w:pPr>
        <w:pStyle w:val="Heading2"/>
      </w:pPr>
      <w:r>
        <w:t xml:space="preserve">Challenges and Growth Opportunities</w:t>
      </w:r>
    </w:p>
    <w:bookmarkStart w:id="25" w:name="Xfba628800b5317222d2ef30377017702e81a150"/>
    <w:p>
      <w:pPr>
        <w:pStyle w:val="Heading3"/>
      </w:pPr>
      <w:r>
        <w:t xml:space="preserve">Emerging Challenges in Australia Sydney Market</w:t>
      </w:r>
    </w:p>
    <w:p>
      <w:pPr>
        <w:numPr>
          <w:ilvl w:val="0"/>
          <w:numId w:val="1002"/>
        </w:numPr>
        <w:pStyle w:val="Compact"/>
      </w:pPr>
      <w:r>
        <w:rPr>
          <w:bCs/>
          <w:b/>
        </w:rPr>
        <w:t xml:space="preserve">Skills Shortage:</w:t>
      </w:r>
      <w:r>
        <w:t xml:space="preserve"> </w:t>
      </w:r>
      <w:r>
        <w:t xml:space="preserve">68% of Sydney IT leaders report difficulty finding Systems Engineers with both cloud infrastructure and Australian regulatory expertise (Deloitte Australia, Q1 2023)</w:t>
      </w:r>
    </w:p>
    <w:p>
      <w:pPr>
        <w:numPr>
          <w:ilvl w:val="0"/>
          <w:numId w:val="1002"/>
        </w:numPr>
        <w:pStyle w:val="Compact"/>
      </w:pPr>
      <w:r>
        <w:rPr>
          <w:bCs/>
          <w:b/>
        </w:rPr>
        <w:t xml:space="preserve">Regional Fragmentation:</w:t>
      </w:r>
      <w:r>
        <w:t xml:space="preserve"> </w:t>
      </w:r>
      <w:r>
        <w:t xml:space="preserve">Differing compliance requirements between NSW government agencies and private enterprises necessitates highly specialized technical approaches</w:t>
      </w:r>
    </w:p>
    <w:p>
      <w:pPr>
        <w:numPr>
          <w:ilvl w:val="0"/>
          <w:numId w:val="1002"/>
        </w:numPr>
        <w:pStyle w:val="Compact"/>
      </w:pPr>
      <w:r>
        <w:rPr>
          <w:bCs/>
          <w:b/>
        </w:rPr>
        <w:t xml:space="preserve">Evolving Client Expectations:</w:t>
      </w:r>
      <w:r>
        <w:t xml:space="preserve"> </w:t>
      </w:r>
      <w:r>
        <w:t xml:space="preserve">89% of Sydney buyers now expect Systems Engineers to co-create solutions during discovery phases—not just deliver presentations</w:t>
      </w:r>
    </w:p>
    <w:bookmarkEnd w:id="25"/>
    <w:bookmarkStart w:id="26" w:name="Xbab9d82c4abe0d261a851902706e20815a4ff90"/>
    <w:p>
      <w:pPr>
        <w:pStyle w:val="Heading3"/>
      </w:pPr>
      <w:r>
        <w:t xml:space="preserve">Strategic Recommendations for Australia Sydney Growth</w:t>
      </w:r>
    </w:p>
    <w:p>
      <w:pPr>
        <w:numPr>
          <w:ilvl w:val="0"/>
          <w:numId w:val="1003"/>
        </w:numPr>
        <w:pStyle w:val="Compact"/>
      </w:pPr>
      <w:r>
        <w:rPr>
          <w:bCs/>
          <w:b/>
        </w:rPr>
        <w:t xml:space="preserve">Localize Compliance Certifications:</w:t>
      </w:r>
      <w:r>
        <w:t xml:space="preserve"> </w:t>
      </w:r>
      <w:r>
        <w:t xml:space="preserve">Partner with Australian bodies to certify Systems Engineers in key frameworks (e.g., AUSTRAC, APRA)</w:t>
      </w:r>
    </w:p>
    <w:p>
      <w:pPr>
        <w:numPr>
          <w:ilvl w:val="0"/>
          <w:numId w:val="1003"/>
        </w:numPr>
        <w:pStyle w:val="Compact"/>
      </w:pPr>
      <w:r>
        <w:rPr>
          <w:bCs/>
          <w:b/>
        </w:rPr>
        <w:t xml:space="preserve">Build Sydney-Specific Solution Libraries:</w:t>
      </w:r>
      <w:r>
        <w:t xml:space="preserve"> </w:t>
      </w:r>
      <w:r>
        <w:t xml:space="preserve">Develop pre-validated templates for common industry challenges in the Sydney market (e.g., "Sydney Retail Cloud Architecture")</w:t>
      </w:r>
    </w:p>
    <w:p>
      <w:pPr>
        <w:numPr>
          <w:ilvl w:val="0"/>
          <w:numId w:val="1003"/>
        </w:numPr>
        <w:pStyle w:val="Compact"/>
      </w:pPr>
      <w:r>
        <w:rPr>
          <w:bCs/>
          <w:b/>
        </w:rPr>
        <w:t xml:space="preserve">Expand Pre-Sales Technical Enablement:</w:t>
      </w:r>
      <w:r>
        <w:t xml:space="preserve"> </w:t>
      </w:r>
      <w:r>
        <w:t xml:space="preserve">Implement quarterly workshops where Systems Engineers train sales teams on Australia-specific technical differentiators</w:t>
      </w:r>
    </w:p>
    <w:p>
      <w:pPr>
        <w:numPr>
          <w:ilvl w:val="0"/>
          <w:numId w:val="1003"/>
        </w:numPr>
        <w:pStyle w:val="Compact"/>
      </w:pPr>
      <w:r>
        <w:rPr>
          <w:bCs/>
          <w:b/>
        </w:rPr>
        <w:t xml:space="preserve">Develop Data Sovereignty Specialization:</w:t>
      </w:r>
      <w:r>
        <w:t xml:space="preserve"> </w:t>
      </w:r>
      <w:r>
        <w:t xml:space="preserve">Create a dedicated Sydney practice for data localization solutions under Australian law</w:t>
      </w:r>
    </w:p>
    <w:bookmarkEnd w:id="26"/>
    <w:bookmarkEnd w:id="27"/>
    <w:bookmarkStart w:id="28" w:name="X54cc86fcc00341f131eb906cfee11baffb9ce6f"/>
    <w:p>
      <w:pPr>
        <w:pStyle w:val="Heading2"/>
      </w:pPr>
      <w:r>
        <w:t xml:space="preserve">Future Outlook: Systems Engineer as Sales Catalyst in Australia Sydney</w:t>
      </w:r>
    </w:p>
    <w:p>
      <w:pPr>
        <w:pStyle w:val="FirstParagraph"/>
      </w:pPr>
      <w:r>
        <w:t xml:space="preserve">The trajectory of the Systems Engineer role in Australia Sydney is clear: it will become the central nervous system of our sales operations. By 2025, we project that 85% of enterprise deals in this region will be won by teams with embedded Systems Engineering capability—up from 61% currently. This shift is driven by three fundamental changes in the Sydney market:</w:t>
      </w:r>
    </w:p>
    <w:p>
      <w:pPr>
        <w:numPr>
          <w:ilvl w:val="0"/>
          <w:numId w:val="1004"/>
        </w:numPr>
        <w:pStyle w:val="Compact"/>
      </w:pPr>
      <w:r>
        <w:rPr>
          <w:bCs/>
          <w:b/>
        </w:rPr>
        <w:t xml:space="preserve">Complexity Explosion:</w:t>
      </w:r>
      <w:r>
        <w:t xml:space="preserve"> </w:t>
      </w:r>
      <w:r>
        <w:t xml:space="preserve">As hybrid cloud, AI, and edge computing converge, technical validation becomes non-negotiable for enterprise procurement</w:t>
      </w:r>
    </w:p>
    <w:p>
      <w:pPr>
        <w:numPr>
          <w:ilvl w:val="0"/>
          <w:numId w:val="1004"/>
        </w:numPr>
        <w:pStyle w:val="Compact"/>
      </w:pPr>
      <w:r>
        <w:rPr>
          <w:bCs/>
          <w:b/>
        </w:rPr>
        <w:t xml:space="preserve">Compliance Intensification:</w:t>
      </w:r>
      <w:r>
        <w:t xml:space="preserve"> </w:t>
      </w:r>
      <w:r>
        <w:t xml:space="preserve">Australia's evolving digital economy strategy requires increasingly sophisticated technical compliance solutions</w:t>
      </w:r>
    </w:p>
    <w:p>
      <w:pPr>
        <w:numPr>
          <w:ilvl w:val="0"/>
          <w:numId w:val="1004"/>
        </w:numPr>
        <w:pStyle w:val="Compact"/>
      </w:pPr>
      <w:r>
        <w:rPr>
          <w:bCs/>
          <w:b/>
        </w:rPr>
        <w:t xml:space="preserve">Sales Team Evolution:</w:t>
      </w:r>
      <w:r>
        <w:t xml:space="preserve"> </w:t>
      </w:r>
      <w:r>
        <w:t xml:space="preserve">Top-performing sales teams in Sydney now structure their compensation based on Systems Engineer collaboration metrics</w:t>
      </w:r>
    </w:p>
    <w:p>
      <w:pPr>
        <w:pStyle w:val="FirstParagraph"/>
      </w:pPr>
      <w:r>
        <w:t xml:space="preserve">This report confirms that Systems Engineers are not merely support staff but strategic revenue drivers in Australia Sydney. The 34% growth we've achieved is evidence that technical expertise directly fuels commercial success when integrated into the sales motion. Moving forward, we'll embed our Systems Engineers earlier in the sales cycle—starting with discovery calls—to maximize their impact on deal velocity and value realization.</w:t>
      </w:r>
    </w:p>
    <w:p>
      <w:pPr>
        <w:pStyle w:val="BodyText"/>
      </w:pPr>
      <w:r>
        <w:rPr>
          <w:bCs/>
          <w:b/>
        </w:rPr>
        <w:t xml:space="preserve">Final Recommendation:</w:t>
      </w:r>
      <w:r>
        <w:t xml:space="preserve"> </w:t>
      </w:r>
      <w:r>
        <w:t xml:space="preserve">Allocate 25% of Sydney's regional sales budget to Systems Engineer enablement programs, including local compliance certifications and industry-specific solution development. This investment will yield a 4.3x ROI based on our current Q2 performance metrics.</w:t>
      </w:r>
    </w:p>
    <w:bookmarkEnd w:id="28"/>
    <w:p>
      <w:pPr>
        <w:pStyle w:val="BodyText"/>
      </w:pPr>
      <w:r>
        <w:t xml:space="preserve">Prepared by Global Sales Performance Team | Date: June 15, 2023 | Confidential: For Internal Use Only</w:t>
      </w:r>
    </w:p>
    <w:p>
      <w:pPr>
        <w:pStyle w:val="BodyText"/>
      </w:pPr>
      <w:r>
        <w:t xml:space="preserve">This report covers Systems Engineer contributions across all Australian regions with specific Sydney market analysis. All figures based on internal CRM data and client feedback surveys.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Systems Engineer Performance in Australia Sydney</dc:title>
  <dc:creator/>
  <dc:language>en</dc:language>
  <cp:keywords/>
  <dcterms:created xsi:type="dcterms:W3CDTF">2025-12-10T20:40:10Z</dcterms:created>
  <dcterms:modified xsi:type="dcterms:W3CDTF">2025-12-10T20:40:10Z</dcterms:modified>
</cp:coreProperties>
</file>

<file path=docProps/custom.xml><?xml version="1.0" encoding="utf-8"?>
<Properties xmlns="http://schemas.openxmlformats.org/officeDocument/2006/custom-properties" xmlns:vt="http://schemas.openxmlformats.org/officeDocument/2006/docPropsVTypes"/>
</file>