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30" w:name="Xcdc932b79752016cb4438d1a7702989f0ffe2d2"/>
    <w:p>
      <w:pPr>
        <w:pStyle w:val="Heading1"/>
      </w:pPr>
      <w:r>
        <w:t xml:space="preserve">Comprehensive Sales Performance Report: Systems Engineer Division - Bangladesh Dhaka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Operations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Systems Engineer team operating within Bangladesh Dhaka, a critical growth market for our enterprise technology solutions. The Systems Engineer role has proven indispensable in driving revenue growth, enhancing client acquisition rates, and establishing technical credibility across Dhaka's burgeoning IT sector. In Q3 2023, the Bangladesh Dhaka Systems Engineering unit directly contributed to a 34% year-over-year sales increase through strategic technical enablement of field sales teams. This report validates our investment in localized technical expertise as a core competitive advantage in South Asian markets.</w:t>
      </w:r>
    </w:p>
    <w:bookmarkEnd w:id="20"/>
    <w:bookmarkStart w:id="21" w:name="X52d09815f0cf70f86c96a9f8001f8173fb27ac9"/>
    <w:p>
      <w:pPr>
        <w:pStyle w:val="Heading2"/>
      </w:pPr>
      <w:r>
        <w:t xml:space="preserve">II. Market Context: Bangladesh Dhaka as Strategic Growth Hub</w:t>
      </w:r>
    </w:p>
    <w:p>
      <w:pPr>
        <w:pStyle w:val="FirstParagraph"/>
      </w:pPr>
      <w:r>
        <w:t xml:space="preserve">Dhaka represents the most dynamic technology market in Bangladesh, with 78% of the nation's IT infrastructure investments concentrated in this metropolitan area. The city's rapid digital transformation—driven by government e-governance initiatives (Digital Bangladesh 2021 Vision), banking sector modernization, and expanding fintech ecosystem—creates unparalleled demand for enterprise-grade systems engineering support. Our Systems Engineers have become the technical bridge between our solutions portfolio and Dhaka's complex client requirements, translating abstract product capabilities into tangible business outcomes that resonate with local CIOs and IT decision-makers.</w:t>
      </w:r>
    </w:p>
    <w:bookmarkEnd w:id="21"/>
    <w:bookmarkStart w:id="22" w:name="Xe57febd2f0d813d20adf31e6349152dbc599505"/>
    <w:p>
      <w:pPr>
        <w:pStyle w:val="Heading2"/>
      </w:pPr>
      <w:r>
        <w:t xml:space="preserve">III. 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Sales Win Rate (with Systems Engineer support)</w:t>
            </w:r>
          </w:p>
        </w:tc>
        <w:tc>
          <w:tcPr/>
          <w:p>
            <w:pPr>
              <w:pStyle w:val="Compact"/>
              <w:jc w:val="left"/>
            </w:pPr>
            <w:r>
              <w:t xml:space="preserve">68%</w:t>
            </w:r>
          </w:p>
        </w:tc>
        <w:tc>
          <w:tcPr/>
          <w:p>
            <w:pPr>
              <w:pStyle w:val="Compact"/>
              <w:jc w:val="left"/>
            </w:pPr>
            <w:r>
              <w:t xml:space="preserve">+19%</w:t>
            </w:r>
          </w:p>
        </w:tc>
        <w:tc>
          <w:tcPr/>
          <w:p>
            <w:pPr>
              <w:pStyle w:val="Compact"/>
              <w:jc w:val="left"/>
            </w:pPr>
            <w:r>
              <w:t xml:space="preserve">102% of Target</w:t>
            </w:r>
          </w:p>
        </w:tc>
      </w:tr>
      <w:tr>
        <w:tc>
          <w:tcPr/>
          <w:p>
            <w:pPr>
              <w:pStyle w:val="Compact"/>
              <w:jc w:val="left"/>
            </w:pPr>
            <w:r>
              <w:t xml:space="preserve">Avg. Deal Size</w:t>
            </w:r>
          </w:p>
        </w:tc>
        <w:tc>
          <w:tcPr/>
          <w:p>
            <w:pPr>
              <w:pStyle w:val="Compact"/>
              <w:jc w:val="left"/>
            </w:pPr>
            <w:r>
              <w:t xml:space="preserve">$42,500</w:t>
            </w:r>
          </w:p>
        </w:tc>
        <w:tc>
          <w:tcPr/>
          <w:p>
            <w:pPr>
              <w:pStyle w:val="Compact"/>
              <w:jc w:val="left"/>
            </w:pPr>
            <w:r>
              <w:t xml:space="preserve">+27%</w:t>
            </w:r>
          </w:p>
        </w:tc>
        <w:tc>
          <w:tcPr/>
          <w:p>
            <w:pPr>
              <w:pStyle w:val="Compact"/>
              <w:jc w:val="left"/>
            </w:pPr>
            <w:r>
              <w:t xml:space="preserve">108% of Target</w:t>
            </w:r>
          </w:p>
        </w:tc>
      </w:tr>
      <w:tr>
        <w:tc>
          <w:tcPr/>
          <w:p>
            <w:pPr>
              <w:pStyle w:val="Compact"/>
              <w:jc w:val="left"/>
            </w:pPr>
            <w:r>
              <w:t xml:space="preserve">Client Acquisition from New Verticals (BFSI, Govt.)</w:t>
            </w:r>
          </w:p>
        </w:tc>
        <w:tc>
          <w:tcPr/>
          <w:p>
            <w:pPr>
              <w:pStyle w:val="Compact"/>
              <w:jc w:val="left"/>
            </w:pPr>
            <w:r>
              <w:t xml:space="preserve">14 New Clients</w:t>
            </w:r>
          </w:p>
        </w:tc>
        <w:tc>
          <w:tcPr/>
          <w:p>
            <w:pPr>
              <w:pStyle w:val="Compact"/>
              <w:jc w:val="left"/>
            </w:pPr>
            <w:r>
              <w:t xml:space="preserve">+33%</w:t>
            </w:r>
          </w:p>
        </w:tc>
        <w:tc>
          <w:tcPr/>
          <w:p>
            <w:pPr>
              <w:pStyle w:val="Compact"/>
              <w:jc w:val="left"/>
            </w:pPr>
            <w:r>
              <w:t xml:space="preserve">125% of Target</w:t>
            </w:r>
          </w:p>
        </w:tc>
      </w:tr>
      <w:tr>
        <w:tc>
          <w:tcPr/>
          <w:p>
            <w:pPr>
              <w:pStyle w:val="Compact"/>
              <w:jc w:val="left"/>
            </w:pPr>
            <w:r>
              <w:t xml:space="preserve">Cross-Sell Revenue via Technical Solutioning</w:t>
            </w:r>
          </w:p>
        </w:tc>
        <w:tc>
          <w:tcPr/>
          <w:p>
            <w:pPr>
              <w:pStyle w:val="Compact"/>
              <w:jc w:val="left"/>
            </w:pPr>
            <w:r>
              <w:t xml:space="preserve">$187,000</w:t>
            </w:r>
          </w:p>
        </w:tc>
        <w:tc>
          <w:tcPr/>
          <w:p>
            <w:pPr>
              <w:pStyle w:val="Compact"/>
              <w:jc w:val="left"/>
            </w:pPr>
            <w:r>
              <w:t xml:space="preserve">+41%</w:t>
            </w:r>
          </w:p>
        </w:tc>
        <w:tc>
          <w:tcPr/>
          <w:p>
            <w:pPr>
              <w:pStyle w:val="Compact"/>
              <w:jc w:val="left"/>
            </w:pPr>
            <w:r>
              <w:t xml:space="preserve">136% of Target</w:t>
            </w:r>
          </w:p>
        </w:tc>
      </w:tr>
    </w:tbl>
    <w:bookmarkEnd w:id="22"/>
    <w:bookmarkStart w:id="25" w:name="X4c8be44e98391bd8a8c0da2a454ea9c1bb23cb7"/>
    <w:p>
      <w:pPr>
        <w:pStyle w:val="Heading2"/>
      </w:pPr>
      <w:r>
        <w:t xml:space="preserve">IV. Systems Engineer Impact Analysis: Bangladesh Dhaka Case Studies</w:t>
      </w:r>
    </w:p>
    <w:bookmarkStart w:id="23" w:name="X577079154300e852d90f9ea30b39ced9eecae3b"/>
    <w:p>
      <w:pPr>
        <w:pStyle w:val="Heading3"/>
      </w:pPr>
      <w:r>
        <w:t xml:space="preserve">A. State Bank of Bangladesh Digital Transformation Project (Q3 2023)</w:t>
      </w:r>
    </w:p>
    <w:p>
      <w:pPr>
        <w:pStyle w:val="FirstParagraph"/>
      </w:pPr>
      <w:r>
        <w:t xml:space="preserve">Our Dhaka-based Systems Engineer, Mr. Rahman, led the technical solutioning for a $450K enterprise cloud migration project with Bangladesh's central banking authority. Recognizing that standard proposals failed to address local regulatory requirements (BSEC guidelines), he co-developed a hybrid-cloud architecture integrating Bangladesh-specific data sovereignty protocols. This technical differentiation directly secured the contract against three global competitors and established our brand as "local solution architects." The Systems Engineer's deep understanding of Bangladesh's regulatory landscape transformed a $250K potential deal into an $450K win with multi-year expansion potential.</w:t>
      </w:r>
    </w:p>
    <w:bookmarkEnd w:id="23"/>
    <w:bookmarkStart w:id="24" w:name="X07ecadc2134f766e1134568a2906613a29f3417"/>
    <w:p>
      <w:pPr>
        <w:pStyle w:val="Heading3"/>
      </w:pPr>
      <w:r>
        <w:t xml:space="preserve">B. Dhaka-based Fintech Startup Scaling Initiative</w:t>
      </w:r>
    </w:p>
    <w:p>
      <w:pPr>
        <w:pStyle w:val="FirstParagraph"/>
      </w:pPr>
      <w:r>
        <w:t xml:space="preserve">For a leading Dhaka fintech unicorn experiencing 300% user growth, our Systems Engineer executed a real-time transaction processing system redesign within 12 weeks—critical to meeting their Series B funding milestones. By leveraging local infrastructure insights (addressing Dhaka's frequent power fluctuations and network congestion patterns), the solution achieved 99.98% uptime during peak traffic periods. This technical partnership enabled the client to secure $20M in additional investment, generating $75K in immediate revenue plus a potential $350K annual contract from their expansion plans.</w:t>
      </w:r>
    </w:p>
    <w:bookmarkEnd w:id="24"/>
    <w:bookmarkEnd w:id="25"/>
    <w:bookmarkStart w:id="26" w:name="Xeb14322ba4cae3b36eab34b2f4b84cd9c3d338a"/>
    <w:p>
      <w:pPr>
        <w:pStyle w:val="Heading2"/>
      </w:pPr>
      <w:r>
        <w:t xml:space="preserve">V. Operational Excellence: Systems Engineer Framework in Bangladesh Dhaka</w:t>
      </w:r>
    </w:p>
    <w:p>
      <w:pPr>
        <w:pStyle w:val="FirstParagraph"/>
      </w:pPr>
      <w:r>
        <w:t xml:space="preserve">The success stems from our tailored operational model for Bangladesh Dhaka:</w:t>
      </w:r>
    </w:p>
    <w:p>
      <w:pPr>
        <w:numPr>
          <w:ilvl w:val="0"/>
          <w:numId w:val="1001"/>
        </w:numPr>
        <w:pStyle w:val="Compact"/>
      </w:pPr>
      <w:r>
        <w:rPr>
          <w:bCs/>
          <w:b/>
        </w:rPr>
        <w:t xml:space="preserve">Hyper-Local Technical Knowledge:</w:t>
      </w:r>
      <w:r>
        <w:t xml:space="preserve"> </w:t>
      </w:r>
      <w:r>
        <w:t xml:space="preserve">All Systems Engineers undergo mandatory training on Bangladesh's IT regulatory environment, infrastructure challenges (including monsoon season network resilience), and cultural nuances of enterprise sales cycles.</w:t>
      </w:r>
    </w:p>
    <w:p>
      <w:pPr>
        <w:numPr>
          <w:ilvl w:val="0"/>
          <w:numId w:val="1001"/>
        </w:numPr>
        <w:pStyle w:val="Compact"/>
      </w:pPr>
      <w:r>
        <w:rPr>
          <w:bCs/>
          <w:b/>
        </w:rPr>
        <w:t xml:space="preserve">Co-Location Strategy:</w:t>
      </w:r>
      <w:r>
        <w:t xml:space="preserve"> </w:t>
      </w:r>
      <w:r>
        <w:t xml:space="preserve">100% of our Dhaka Systems Engineers work within the same office as sales teams—enabling real-time collaboration during client meetings. This eliminates time-zone barriers that previously hindered international support.</w:t>
      </w:r>
    </w:p>
    <w:p>
      <w:pPr>
        <w:numPr>
          <w:ilvl w:val="0"/>
          <w:numId w:val="1001"/>
        </w:numPr>
        <w:pStyle w:val="Compact"/>
      </w:pPr>
      <w:r>
        <w:rPr>
          <w:bCs/>
          <w:b/>
        </w:rPr>
        <w:t xml:space="preserve">Dhaka-Specific Tooling:</w:t>
      </w:r>
      <w:r>
        <w:t xml:space="preserve"> </w:t>
      </w:r>
      <w:r>
        <w:t xml:space="preserve">Customized solution templates addressing common Bangladesh enterprise pain points (e.g., "Bengali language compliance modules," "mobile-first authentication frameworks for low-bandwidth areas").</w:t>
      </w:r>
    </w:p>
    <w:bookmarkEnd w:id="26"/>
    <w:bookmarkStart w:id="27" w:name="vi.-challenges-and-strategic-responses"/>
    <w:p>
      <w:pPr>
        <w:pStyle w:val="Heading2"/>
      </w:pPr>
      <w:r>
        <w:t xml:space="preserve">VI. Challenges and Strategic Responses</w:t>
      </w:r>
    </w:p>
    <w:p>
      <w:pPr>
        <w:pStyle w:val="FirstParagraph"/>
      </w:pPr>
      <w:r>
        <w:t xml:space="preserve">We encountered significant challenges unique to Bangladesh Dhaka:</w:t>
      </w:r>
    </w:p>
    <w:p>
      <w:pPr>
        <w:numPr>
          <w:ilvl w:val="0"/>
          <w:numId w:val="1002"/>
        </w:numPr>
        <w:pStyle w:val="Compact"/>
      </w:pPr>
      <w:r>
        <w:rPr>
          <w:iCs/>
          <w:i/>
        </w:rPr>
        <w:t xml:space="preserve">Infrastructure Constraints:</w:t>
      </w:r>
      <w:r>
        <w:t xml:space="preserve"> </w:t>
      </w:r>
      <w:r>
        <w:t xml:space="preserve">45% of client sites experience daily network instability. Our Systems Engineers developed a "Dhaka Network Resilience Kit" with offline processing capabilities, reducing implementation delays by 62%.</w:t>
      </w:r>
    </w:p>
    <w:p>
      <w:pPr>
        <w:numPr>
          <w:ilvl w:val="0"/>
          <w:numId w:val="1002"/>
        </w:numPr>
        <w:pStyle w:val="Compact"/>
      </w:pPr>
      <w:r>
        <w:rPr>
          <w:iCs/>
          <w:i/>
        </w:rPr>
        <w:t xml:space="preserve">Cultural Alignment:</w:t>
      </w:r>
      <w:r>
        <w:t xml:space="preserve"> </w:t>
      </w:r>
      <w:r>
        <w:t xml:space="preserve">Initial resistance to "non-Bangladeshi" technical approaches. We resolved this by appointing Dhaka-born Systems Engineers as primary technical leads (now 70% of our team), who culturally translate our solutions for local stakeholders.</w:t>
      </w:r>
    </w:p>
    <w:bookmarkEnd w:id="27"/>
    <w:bookmarkStart w:id="28" w:name="X302058ce5f5b63310d3d147d94047094391a5b3"/>
    <w:p>
      <w:pPr>
        <w:pStyle w:val="Heading2"/>
      </w:pPr>
      <w:r>
        <w:t xml:space="preserve">VII. Future Roadmap: Scaling the Bangladesh Dhaka Model</w:t>
      </w:r>
    </w:p>
    <w:p>
      <w:pPr>
        <w:pStyle w:val="FirstParagraph"/>
      </w:pPr>
      <w:r>
        <w:t xml:space="preserve">This Sales Report confirms that the Systems Engineer role is no longer supportive but strategic to our Bangladesh Dhaka growth engine. Our 2024 roadmap includes:</w:t>
      </w:r>
    </w:p>
    <w:p>
      <w:pPr>
        <w:numPr>
          <w:ilvl w:val="0"/>
          <w:numId w:val="1003"/>
        </w:numPr>
        <w:pStyle w:val="Compact"/>
      </w:pPr>
      <w:r>
        <w:t xml:space="preserve">Expanding Dhaka Systems Engineering team by 40% to support anticipated 50% market share increase in BFSI sector</w:t>
      </w:r>
    </w:p>
    <w:p>
      <w:pPr>
        <w:numPr>
          <w:ilvl w:val="0"/>
          <w:numId w:val="1003"/>
        </w:numPr>
        <w:pStyle w:val="Compact"/>
      </w:pPr>
      <w:r>
        <w:t xml:space="preserve">Developing a "Bangladesh Regulatory Compliance Certification" for all Systems Engineers (partnering with Bangladesh Computer Society)</w:t>
      </w:r>
    </w:p>
    <w:p>
      <w:pPr>
        <w:numPr>
          <w:ilvl w:val="0"/>
          <w:numId w:val="1003"/>
        </w:numPr>
        <w:pStyle w:val="Compact"/>
      </w:pPr>
      <w:r>
        <w:t xml:space="preserve">Leveraging Dhaka's success as a template for replication across other South Asian markets (Sri Lanka, Nepal)</w:t>
      </w:r>
    </w:p>
    <w:bookmarkEnd w:id="28"/>
    <w:bookmarkStart w:id="29" w:name="viii.-conclusion"/>
    <w:p>
      <w:pPr>
        <w:pStyle w:val="Heading2"/>
      </w:pPr>
      <w:r>
        <w:t xml:space="preserve">VIII. Conclusion</w:t>
      </w:r>
    </w:p>
    <w:p>
      <w:pPr>
        <w:pStyle w:val="FirstParagraph"/>
      </w:pPr>
      <w:r>
        <w:t xml:space="preserve">The Q3 2023 Sales Report unequivocally demonstrates that Systems Engineers in Bangladesh Dhaka have evolved from technical support personnel to revenue catalysts. Their deep market understanding—specifically how to engineer solutions for Dhaka's unique infrastructure, regulatory, and cultural context—has driven unprecedented sales results. The 34% YoY revenue growth in this territory directly correlates with our strategic investment in localized systems engineering talent. As Bangladesh's digital economy accelerates toward its $15B target by 2026 (World Bank), the Systems Engineer will remain the cornerstone of our market leadership strategy in Dhaka and across Bangladesh. We recommend doubling down on this model, allocating 30% of all regional technical training budgets specifically to Bangladesh Dhaka's market-specific challenges.</w:t>
      </w:r>
    </w:p>
    <w:p>
      <w:pPr>
        <w:pStyle w:val="BodyText"/>
      </w:pPr>
      <w:r>
        <w:rPr>
          <w:bCs/>
          <w:b/>
        </w:rPr>
        <w:t xml:space="preserve">Prepared By:</w:t>
      </w:r>
      <w:r>
        <w:t xml:space="preserve"> </w:t>
      </w:r>
      <w:r>
        <w:t xml:space="preserve">Global Sales Operations, Systems Engineering Division</w:t>
      </w:r>
      <w:r>
        <w:br/>
      </w:r>
      <w:r>
        <w:rPr>
          <w:bCs/>
          <w:b/>
        </w:rPr>
        <w:t xml:space="preserve">Contact:</w:t>
      </w:r>
      <w:r>
        <w:t xml:space="preserve"> </w:t>
      </w:r>
      <w:r>
        <w:t xml:space="preserve">sales.operations@company.com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Bangladesh Dhaka</dc:title>
  <dc:creator/>
  <dc:language>en</dc:language>
  <cp:keywords/>
  <dcterms:created xsi:type="dcterms:W3CDTF">2026-07-23T05:13:33Z</dcterms:created>
  <dcterms:modified xsi:type="dcterms:W3CDTF">2026-07-23T05:13:33Z</dcterms:modified>
</cp:coreProperties>
</file>

<file path=docProps/custom.xml><?xml version="1.0" encoding="utf-8"?>
<Properties xmlns="http://schemas.openxmlformats.org/officeDocument/2006/custom-properties" xmlns:vt="http://schemas.openxmlformats.org/officeDocument/2006/docPropsVTypes"/>
</file>