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Division</w:t>
      </w:r>
      <w:r>
        <w:t xml:space="preserve"> </w:t>
      </w:r>
      <w:r>
        <w:t xml:space="preserve">-</w:t>
      </w:r>
      <w:r>
        <w:t xml:space="preserve"> </w:t>
      </w:r>
      <w:r>
        <w:t xml:space="preserve">Canada</w:t>
      </w:r>
      <w:r>
        <w:t xml:space="preserve"> </w:t>
      </w:r>
      <w:r>
        <w:t xml:space="preserve">Toronto</w:t>
      </w:r>
    </w:p>
    <w:bookmarkStart w:id="27" w:name="q3-2024-sales-performance-report"/>
    <w:p>
      <w:pPr>
        <w:pStyle w:val="Heading1"/>
      </w:pPr>
      <w:r>
        <w:t xml:space="preserve">Q3 2024 Sales Performance Report</w:t>
      </w:r>
    </w:p>
    <w:bookmarkStart w:id="26" w:name="X094c6a0f4718cf39021504b9acf5dceb52cf096"/>
    <w:p>
      <w:pPr>
        <w:pStyle w:val="Heading2"/>
      </w:pPr>
      <w:r>
        <w:t xml:space="preserve">Systems Engineering Division | Canada Toronto Operations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15, 2024</w:t>
      </w:r>
      <w:r>
        <w:br/>
      </w:r>
      <w:r>
        <w:rPr>
          <w:bCs/>
          <w:b/>
        </w:rPr>
        <w:t xml:space="preserve">Prepared By:</w:t>
      </w:r>
      <w:r>
        <w:t xml:space="preserve"> </w:t>
      </w:r>
      <w:r>
        <w:t xml:space="preserve">Sales &amp; Engineering Strategy Department</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Q3 2024 performance of our Systems Engineering division within the Canada Toronto market. The region has demonstrated exceptional growth, with a 27% year-over-year increase in enterprise solution sales directly attributable to strategic integration of our specialized</w:t>
      </w:r>
      <w:r>
        <w:t xml:space="preserve"> </w:t>
      </w:r>
      <w:r>
        <w:rPr>
          <w:bCs/>
          <w:b/>
        </w:rPr>
        <w:t xml:space="preserve">Systems Engineer</w:t>
      </w:r>
      <w:r>
        <w:t xml:space="preserve"> </w:t>
      </w:r>
      <w:r>
        <w:t xml:space="preserve">teams. Toronto's position as Canada's tech hub continues to drive demand for end-to-end infrastructure solutions, where our engineering expertise has become the differentiator in competitive RFPs across financial services, healthcare, and government sectors.</w:t>
      </w:r>
    </w:p>
    <w:bookmarkEnd w:id="20"/>
    <w:bookmarkStart w:id="21" w:name="key-sales-performance-metrics-q3-2024"/>
    <w:p>
      <w:pPr>
        <w:pStyle w:val="Heading3"/>
      </w:pPr>
      <w:r>
        <w:t xml:space="preserve">Key 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Solution Sales (CAD)</w:t>
            </w:r>
          </w:p>
        </w:tc>
        <w:tc>
          <w:tcPr/>
          <w:p>
            <w:pPr>
              <w:pStyle w:val="Compact"/>
              <w:jc w:val="left"/>
            </w:pPr>
            <w:r>
              <w:t xml:space="preserve">$14.2M</w:t>
            </w:r>
          </w:p>
        </w:tc>
        <w:tc>
          <w:tcPr/>
          <w:p>
            <w:pPr>
              <w:pStyle w:val="Compact"/>
              <w:jc w:val="left"/>
            </w:pPr>
            <w:r>
              <w:t xml:space="preserve">$10.7M</w:t>
            </w:r>
          </w:p>
        </w:tc>
        <w:tc>
          <w:tcPr/>
          <w:p>
            <w:pPr>
              <w:pStyle w:val="Compact"/>
              <w:jc w:val="left"/>
            </w:pPr>
            <w:r>
              <w:t xml:space="preserve">+32.7%</w:t>
            </w:r>
          </w:p>
        </w:tc>
      </w:tr>
      <w:tr>
        <w:tc>
          <w:tcPr/>
          <w:p>
            <w:pPr>
              <w:pStyle w:val="Compact"/>
              <w:jc w:val="left"/>
            </w:pPr>
            <w:r>
              <w:t xml:space="preserve">Systems Engineer-Driven Deals (% of Total)</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r>
        <w:tc>
          <w:tcPr/>
          <w:p>
            <w:pPr>
              <w:pStyle w:val="Compact"/>
              <w:jc w:val="left"/>
            </w:pPr>
            <w:r>
              <w:t xml:space="preserve">Average Deal Size (CAD)</w:t>
            </w:r>
          </w:p>
        </w:tc>
        <w:tc>
          <w:tcPr/>
          <w:p>
            <w:pPr>
              <w:pStyle w:val="Compact"/>
              <w:jc w:val="left"/>
            </w:pPr>
            <w:r>
              <w:t xml:space="preserve">$324,000</w:t>
            </w:r>
          </w:p>
        </w:tc>
        <w:tc>
          <w:tcPr/>
          <w:p>
            <w:pPr>
              <w:pStyle w:val="Compact"/>
              <w:jc w:val="left"/>
            </w:pPr>
            <w:r>
              <w:t xml:space="preserve">$275,000</w:t>
            </w:r>
          </w:p>
        </w:tc>
        <w:tc>
          <w:tcPr/>
          <w:p>
            <w:pPr>
              <w:pStyle w:val="Compact"/>
              <w:jc w:val="left"/>
            </w:pPr>
            <w:r>
              <w:t xml:space="preserve">+17.8%</w:t>
            </w:r>
          </w:p>
        </w:tc>
      </w:tr>
      <w:tr>
        <w:tc>
          <w:tcPr/>
          <w:p>
            <w:pPr>
              <w:pStyle w:val="Compact"/>
              <w:jc w:val="left"/>
            </w:pPr>
            <w:r>
              <w:t xml:space="preserve">Customer Retention Rate (Enterprise)</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bl>
    <w:bookmarkEnd w:id="21"/>
    <w:bookmarkStart w:id="22" w:name="systems-engineer-impact-analysis"/>
    <w:p>
      <w:pPr>
        <w:pStyle w:val="Heading3"/>
      </w:pPr>
      <w:r>
        <w:t xml:space="preserve">Systems Engineer Impact Analysis</w:t>
      </w:r>
    </w:p>
    <w:p>
      <w:pPr>
        <w:pStyle w:val="FirstParagraph"/>
      </w:pPr>
      <w:r>
        <w:t xml:space="preserve">The remarkable growth in Toronto's sales pipeline directly correlates with our strategic investment in specialized</w:t>
      </w:r>
      <w:r>
        <w:t xml:space="preserve"> </w:t>
      </w:r>
      <w:r>
        <w:rPr>
          <w:bCs/>
          <w:b/>
        </w:rPr>
        <w:t xml:space="preserve">Systems Engineer</w:t>
      </w:r>
      <w:r>
        <w:t xml:space="preserve"> </w:t>
      </w:r>
      <w:r>
        <w:t xml:space="preserve">talent. These professionals—specializing in cloud architecture (AWS/Azure), hybrid network design, and AI infrastructure—have transformed how we approach enterprise engagements. Unlike traditional sales teams, our Systems Engineers provide technical validation during the early discovery phase, reducing solution misalignment by 41% and shortening sales cycles by 22 days on average.</w:t>
      </w:r>
    </w:p>
    <w:p>
      <w:pPr>
        <w:pStyle w:val="BodyText"/>
      </w:pPr>
      <w:r>
        <w:t xml:space="preserve">Notable success stories from</w:t>
      </w:r>
      <w:r>
        <w:t xml:space="preserve"> </w:t>
      </w:r>
      <w:r>
        <w:rPr>
          <w:bCs/>
          <w:b/>
        </w:rPr>
        <w:t xml:space="preserve">Canada Toronto</w:t>
      </w:r>
      <w:r>
        <w:t xml:space="preserve"> </w:t>
      </w:r>
      <w:r>
        <w:t xml:space="preserve">include:</w:t>
      </w:r>
    </w:p>
    <w:p>
      <w:pPr>
        <w:numPr>
          <w:ilvl w:val="0"/>
          <w:numId w:val="1001"/>
        </w:numPr>
        <w:pStyle w:val="Compact"/>
      </w:pPr>
      <w:r>
        <w:rPr>
          <w:bCs/>
          <w:b/>
        </w:rPr>
        <w:t xml:space="preserve">Major Financial Institution (Toronto):</w:t>
      </w:r>
      <w:r>
        <w:t xml:space="preserve"> </w:t>
      </w:r>
      <w:r>
        <w:t xml:space="preserve">Systems Engineer-led design of a secure, low-latency trading platform secured $4.8M contract after outperforming competitors' technical proposals.</w:t>
      </w:r>
    </w:p>
    <w:p>
      <w:pPr>
        <w:numPr>
          <w:ilvl w:val="0"/>
          <w:numId w:val="1001"/>
        </w:numPr>
        <w:pStyle w:val="Compact"/>
      </w:pPr>
      <w:r>
        <w:rPr>
          <w:bCs/>
          <w:b/>
        </w:rPr>
        <w:t xml:space="preserve">Healthcare Network Expansion:</w:t>
      </w:r>
      <w:r>
        <w:t xml:space="preserve"> </w:t>
      </w:r>
      <w:r>
        <w:t xml:space="preserve">Engineering team resolved complex interoperability challenges in legacy EHR systems, resulting in $2.3M deal with Ontario's regional health authority.</w:t>
      </w:r>
    </w:p>
    <w:p>
      <w:pPr>
        <w:numPr>
          <w:ilvl w:val="0"/>
          <w:numId w:val="1001"/>
        </w:numPr>
        <w:pStyle w:val="Compact"/>
      </w:pPr>
      <w:r>
        <w:rPr>
          <w:bCs/>
          <w:b/>
        </w:rPr>
        <w:t xml:space="preserve">Government Digital Transformation:</w:t>
      </w:r>
      <w:r>
        <w:t xml:space="preserve"> </w:t>
      </w:r>
      <w:r>
        <w:t xml:space="preserve">Customized cybersecurity framework designed by Toronto-based Systems Engineers won 18-month contract worth $1.7M, exceeding budget by 23%.</w:t>
      </w:r>
    </w:p>
    <w:bookmarkEnd w:id="22"/>
    <w:bookmarkStart w:id="23" w:name="X6116343834e6194e948a56cfdc688f54537d982"/>
    <w:p>
      <w:pPr>
        <w:pStyle w:val="Heading3"/>
      </w:pPr>
      <w:r>
        <w:t xml:space="preserve">Toronto Market Analysis &amp; Competitive Landscape</w:t>
      </w:r>
    </w:p>
    <w:p>
      <w:pPr>
        <w:pStyle w:val="FirstParagraph"/>
      </w:pPr>
      <w:r>
        <w:t xml:space="preserve">As Canada's most dynamic tech market, Toronto attracts 47% of all enterprise IT investments in the country. Our Q3 performance reflects strategic positioning against key competitors:</w:t>
      </w:r>
    </w:p>
    <w:p>
      <w:pPr>
        <w:numPr>
          <w:ilvl w:val="0"/>
          <w:numId w:val="1002"/>
        </w:numPr>
        <w:pStyle w:val="Compact"/>
      </w:pPr>
      <w:r>
        <w:rPr>
          <w:bCs/>
          <w:b/>
        </w:rPr>
        <w:t xml:space="preserve">Cisco/IBM (Traditional Vendors):</w:t>
      </w:r>
      <w:r>
        <w:t xml:space="preserve"> </w:t>
      </w:r>
      <w:r>
        <w:t xml:space="preserve">Losing ground due to rigid, infrastructure-focused solutions; Toronto enterprises increasingly prioritize agile, engineer-led customization.</w:t>
      </w:r>
    </w:p>
    <w:p>
      <w:pPr>
        <w:numPr>
          <w:ilvl w:val="0"/>
          <w:numId w:val="1002"/>
        </w:numPr>
        <w:pStyle w:val="Compact"/>
      </w:pPr>
      <w:r>
        <w:rPr>
          <w:bCs/>
          <w:b/>
        </w:rPr>
        <w:t xml:space="preserve">Local Canadian Competitors:</w:t>
      </w:r>
      <w:r>
        <w:t xml:space="preserve"> </w:t>
      </w:r>
      <w:r>
        <w:t xml:space="preserve">Smaller firms struggle with scalability—our Systems Engineers deliver enterprise-grade solutions with local market expertise without premium pricing.</w:t>
      </w:r>
    </w:p>
    <w:p>
      <w:pPr>
        <w:numPr>
          <w:ilvl w:val="0"/>
          <w:numId w:val="1002"/>
        </w:numPr>
        <w:pStyle w:val="Compact"/>
      </w:pPr>
      <w:r>
        <w:rPr>
          <w:bCs/>
          <w:b/>
        </w:rPr>
        <w:t xml:space="preserve">Toronto-Specific Demand Drivers:</w:t>
      </w:r>
      <w:r>
        <w:t xml:space="preserve"> </w:t>
      </w:r>
      <w:r>
        <w:t xml:space="preserve">Accelerated adoption of AI infrastructure (up 63% YoY), stringent data sovereignty requirements, and Toronto's $5.2B Smart City initiative create unique opportunities for specialized engineering teams.</w:t>
      </w:r>
    </w:p>
    <w:bookmarkEnd w:id="23"/>
    <w:bookmarkStart w:id="24" w:name="challenges-strategic-opportunities"/>
    <w:p>
      <w:pPr>
        <w:pStyle w:val="Heading3"/>
      </w:pPr>
      <w:r>
        <w:t xml:space="preserve">Challenges &amp; Strategic Opportunities</w:t>
      </w:r>
    </w:p>
    <w:p>
      <w:pPr>
        <w:pStyle w:val="FirstParagraph"/>
      </w:pPr>
      <w:r>
        <w:t xml:space="preserve">While Toronto's market shows strong growth potential, two critical challenges require immediate attention:</w:t>
      </w:r>
    </w:p>
    <w:p>
      <w:pPr>
        <w:numPr>
          <w:ilvl w:val="0"/>
          <w:numId w:val="1003"/>
        </w:numPr>
        <w:pStyle w:val="Compact"/>
      </w:pPr>
      <w:r>
        <w:rPr>
          <w:bCs/>
          <w:b/>
        </w:rPr>
        <w:t xml:space="preserve">Talent Competition:</w:t>
      </w:r>
      <w:r>
        <w:t xml:space="preserve"> </w:t>
      </w:r>
      <w:r>
        <w:t xml:space="preserve">Toronto's tech talent pool faces intense competition from fintech unicorns and global tech giants. We've responded by launching our "Toronto Systems Engineering Fellowship" program with University of Toronto, reducing recruitment time by 37%.</w:t>
      </w:r>
    </w:p>
    <w:p>
      <w:pPr>
        <w:numPr>
          <w:ilvl w:val="0"/>
          <w:numId w:val="1003"/>
        </w:numPr>
        <w:pStyle w:val="Compact"/>
      </w:pPr>
      <w:r>
        <w:rPr>
          <w:bCs/>
          <w:b/>
        </w:rPr>
        <w:t xml:space="preserve">Regulatory Complexity:</w:t>
      </w:r>
      <w:r>
        <w:t xml:space="preserve"> </w:t>
      </w:r>
      <w:r>
        <w:t xml:space="preserve">New Canadian digital privacy regulations (PIPEDA 2024) require specialized engineering knowledge. Our Toronto-based legal-engineering task force has already helped clients avoid $1.8M in potential compliance penalties.</w:t>
      </w:r>
    </w:p>
    <w:p>
      <w:pPr>
        <w:pStyle w:val="FirstParagraph"/>
      </w:pPr>
      <w:r>
        <w:rPr>
          <w:bCs/>
          <w:b/>
        </w:rPr>
        <w:t xml:space="preserve">Emerging Opportunities for Q4 2024:</w:t>
      </w:r>
    </w:p>
    <w:p>
      <w:pPr>
        <w:numPr>
          <w:ilvl w:val="0"/>
          <w:numId w:val="1004"/>
        </w:numPr>
        <w:pStyle w:val="Compact"/>
      </w:pPr>
      <w:r>
        <w:t xml:space="preserve">Expanding into Toronto's rapidly growing fintech cluster (17 new startups in Q3)</w:t>
      </w:r>
    </w:p>
    <w:p>
      <w:pPr>
        <w:numPr>
          <w:ilvl w:val="0"/>
          <w:numId w:val="1004"/>
        </w:numPr>
        <w:pStyle w:val="Compact"/>
      </w:pPr>
      <w:r>
        <w:t xml:space="preserve">Capitalizing on federal "Digital Canada 150" infrastructure grants</w:t>
      </w:r>
    </w:p>
    <w:p>
      <w:pPr>
        <w:numPr>
          <w:ilvl w:val="0"/>
          <w:numId w:val="1004"/>
        </w:numPr>
        <w:pStyle w:val="Compact"/>
      </w:pPr>
      <w:r>
        <w:t xml:space="preserve">Pioneering AI infrastructure-as-a-service solutions for local enterprises</w:t>
      </w:r>
    </w:p>
    <w:bookmarkEnd w:id="24"/>
    <w:bookmarkStart w:id="25" w:name="conclusion-strategic-outlook"/>
    <w:p>
      <w:pPr>
        <w:pStyle w:val="Heading3"/>
      </w:pPr>
      <w:r>
        <w:t xml:space="preserve">Conclusion &amp; Strategic Outlook</w:t>
      </w:r>
    </w:p>
    <w:p>
      <w:pPr>
        <w:pStyle w:val="FirstParagraph"/>
      </w:pPr>
      <w:r>
        <w:t xml:space="preserve">The Q3 2024 performance conclusively demonstrates that the Systems Engineer role is no longer a technical support function—it's our primary sales engine in the Toronto market. As Canada's economy increasingly pivots toward digital transformation, the value of embedded engineering expertise has never been higher. Our</w:t>
      </w:r>
      <w:r>
        <w:t xml:space="preserve"> </w:t>
      </w:r>
      <w:r>
        <w:rPr>
          <w:bCs/>
          <w:b/>
        </w:rPr>
        <w:t xml:space="preserve">Systems Engineer</w:t>
      </w:r>
      <w:r>
        <w:t xml:space="preserve"> </w:t>
      </w:r>
      <w:r>
        <w:t xml:space="preserve">teams are directly responsible for 68% of all new enterprise deals in</w:t>
      </w:r>
      <w:r>
        <w:t xml:space="preserve"> </w:t>
      </w:r>
      <w:r>
        <w:rPr>
          <w:bCs/>
          <w:b/>
        </w:rPr>
        <w:t xml:space="preserve">Canada Toronto</w:t>
      </w:r>
      <w:r>
        <w:t xml:space="preserve">, with deal sizes increasing by 17.8% compared to last year.</w:t>
      </w:r>
    </w:p>
    <w:p>
      <w:pPr>
        <w:pStyle w:val="BodyText"/>
      </w:pPr>
      <w:r>
        <w:t xml:space="preserve">We project sustained growth through Q4, with Toronto sales expected to reach $16.5M—representing 39% of Canada's total revenue. To maintain this momentum, we recommend:</w:t>
      </w:r>
    </w:p>
    <w:p>
      <w:pPr>
        <w:numPr>
          <w:ilvl w:val="0"/>
          <w:numId w:val="1005"/>
        </w:numPr>
        <w:pStyle w:val="Compact"/>
      </w:pPr>
      <w:r>
        <w:t xml:space="preserve">Increasing Systems Engineer headcount in Toronto by 25% before Q1 2025</w:t>
      </w:r>
    </w:p>
    <w:p>
      <w:pPr>
        <w:numPr>
          <w:ilvl w:val="0"/>
          <w:numId w:val="1005"/>
        </w:numPr>
        <w:pStyle w:val="Compact"/>
      </w:pPr>
      <w:r>
        <w:t xml:space="preserve">Developing a dedicated "Toronto Market Engineering Playbook" for sector-specific solution templates</w:t>
      </w:r>
    </w:p>
    <w:p>
      <w:pPr>
        <w:numPr>
          <w:ilvl w:val="0"/>
          <w:numId w:val="1005"/>
        </w:numPr>
        <w:pStyle w:val="Compact"/>
      </w:pPr>
      <w:r>
        <w:t xml:space="preserve">Launching quarterly technical workshops with key Toronto enterprise clients to co-create innovation pathways</w:t>
      </w:r>
    </w:p>
    <w:p>
      <w:pPr>
        <w:pStyle w:val="FirstParagraph"/>
      </w:pPr>
      <w:r>
        <w:t xml:space="preserve">In closing, this Sales Report confirms that strategic integration of world-class Systems Engineers is the cornerstone of our success in Canada's most competitive technology market. As Toronto evolves into North America's premier AI and cloud infrastructure hub, our engineering-led sales approach will remain the key differentiator ensuring sustainable growth for years to come.</w:t>
      </w:r>
    </w:p>
    <w:p>
      <w:pPr>
        <w:pStyle w:val="BodyText"/>
      </w:pPr>
      <w:r>
        <w:rPr>
          <w:bCs/>
          <w:b/>
        </w:rPr>
        <w:t xml:space="preserve">Report End - Total Word Count: 857</w:t>
      </w:r>
    </w:p>
    <w:p>
      <w:pPr>
        <w:pStyle w:val="BodyText"/>
      </w:pPr>
      <w:r>
        <w:t xml:space="preserve">This document is confidential and for internal use only. Distribution prohibited without authorization from Sales Strategy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Engineering Division - Canada Toronto</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