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7" w:name="Xe8edf7670625c92af5b1c5787f25f098ca45059"/>
    <w:p>
      <w:pPr>
        <w:pStyle w:val="Heading1"/>
      </w:pPr>
      <w:r>
        <w:t xml:space="preserve">Quarterly Sales Report: Systems Engineer Performance &amp; Strategic Market Analysis for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Operations Division</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Regional Sales &amp; Technical Strategy Team</w:t>
      </w:r>
    </w:p>
    <w:bookmarkStart w:id="20" w:name="executive-summary"/>
    <w:p>
      <w:pPr>
        <w:pStyle w:val="Heading2"/>
      </w:pPr>
      <w:r>
        <w:t xml:space="preserve">Executive Summary</w:t>
      </w:r>
    </w:p>
    <w:p>
      <w:pPr>
        <w:pStyle w:val="FirstParagraph"/>
      </w:pPr>
      <w:r>
        <w:t xml:space="preserve">This report details the critical role of Systems Engineers within our sales ecosystem across Canada Vancouver. The integration of highly skilled Systems Engineers directly contributed to a 18.7% year-over-year increase in enterprise software sales, exceeding regional targets by 12%. In the competitive Canadian tech landscape, where Vancouver serves as a strategic hub for innovation and client acquisition, the Systems Engineer function has evolved from a technical support role into a primary revenue driver. This document underscores how specialized technical expertise in Canada Vancouver is fundamentally reshaping our sales velocity and customer retention strategy.</w:t>
      </w:r>
    </w:p>
    <w:bookmarkEnd w:id="20"/>
    <w:bookmarkStart w:id="21" w:name="X066a9bf5c30c7743c23f07b081378aba55fbdf7"/>
    <w:p>
      <w:pPr>
        <w:pStyle w:val="Heading2"/>
      </w:pPr>
      <w:r>
        <w:t xml:space="preserve">Market Context: Why Systems Engineers Are Non-Negotiable in Canada Vancouver</w:t>
      </w:r>
    </w:p>
    <w:p>
      <w:pPr>
        <w:pStyle w:val="FirstParagraph"/>
      </w:pPr>
      <w:r>
        <w:t xml:space="preserve">Vancouver’s tech sector, bolstered by a concentration of AI startups, cloud infrastructure providers, and enterprise clients in finance and healthcare (including major institutions like BC Children's Hospital and RBC), demands exceptional technical alignment. The region’s rapid growth—12% YoY expansion in IT services according to BC Tech Association data—has intensified competition for sophisticated solutions. Our Systems Engineers are the bridge between complex technical capabilities and sales outcomes, ensuring proposals address Vancouver-specific infrastructure challenges: stringent Canadian data sovereignty requirements (PIPEDA compliance), integration with legacy systems common in local government contracts, and scalability for Pacific Northwest clients expanding into Asia-Pacific markets.</w:t>
      </w:r>
    </w:p>
    <w:bookmarkEnd w:id="21"/>
    <w:bookmarkStart w:id="22" w:name="X1e66b8b109e56a41290951d1f562b031ddd1b87"/>
    <w:p>
      <w:pPr>
        <w:pStyle w:val="Heading2"/>
      </w:pPr>
      <w:r>
        <w:t xml:space="preserve">Systems Engineer Impact on Sales Performance</w:t>
      </w:r>
    </w:p>
    <w:p>
      <w:pPr>
        <w:pStyle w:val="FirstParagraph"/>
      </w:pPr>
      <w:r>
        <w:t xml:space="preserve">The Systems Engineer team in Canada Vancouver directly influenced 73% of closed-won deals in Q3. Key contributions include:</w:t>
      </w:r>
    </w:p>
    <w:p>
      <w:pPr>
        <w:numPr>
          <w:ilvl w:val="0"/>
          <w:numId w:val="1001"/>
        </w:numPr>
        <w:pStyle w:val="Compact"/>
      </w:pPr>
      <w:r>
        <w:rPr>
          <w:bCs/>
          <w:b/>
        </w:rPr>
        <w:t xml:space="preserve">Accelerated Proof-of-Concept (PoC) Execution:</w:t>
      </w:r>
      <w:r>
        <w:t xml:space="preserve"> </w:t>
      </w:r>
      <w:r>
        <w:t xml:space="preserve">Reduced average PoC timeline by 42% through pre-configured Vancouver-specific cloud environments (AWS Canada Central Region), directly addressing client concerns about latency and data residency. This shortened the sales cycle for 15 enterprise deals valued at $2.8M.</w:t>
      </w:r>
    </w:p>
    <w:p>
      <w:pPr>
        <w:numPr>
          <w:ilvl w:val="0"/>
          <w:numId w:val="1001"/>
        </w:numPr>
        <w:pStyle w:val="Compact"/>
      </w:pPr>
      <w:r>
        <w:rPr>
          <w:bCs/>
          <w:b/>
        </w:rPr>
        <w:t xml:space="preserve">Technical Proposal Customization:</w:t>
      </w:r>
      <w:r>
        <w:t xml:space="preserve"> </w:t>
      </w:r>
      <w:r>
        <w:t xml:space="preserve">Systems Engineers co-developed solution architectures for 30+ proposals, integrating local regulatory frameworks (e.g., BC’s Health Data Act) into technical designs. This eliminated post-sale compliance rework and increased proposal win rates by 27%.</w:t>
      </w:r>
    </w:p>
    <w:p>
      <w:pPr>
        <w:numPr>
          <w:ilvl w:val="0"/>
          <w:numId w:val="1001"/>
        </w:numPr>
        <w:pStyle w:val="Compact"/>
      </w:pPr>
      <w:r>
        <w:rPr>
          <w:bCs/>
          <w:b/>
        </w:rPr>
        <w:t xml:space="preserve">Client Trust Building:</w:t>
      </w:r>
      <w:r>
        <w:t xml:space="preserve"> </w:t>
      </w:r>
      <w:r>
        <w:t xml:space="preserve">On-site systems demonstrations conducted by Vancouver-based engineers increased client confidence in complex integrations, resulting in a 35% reduction in sales objections related to technical feasibility compared to prior quarters.</w:t>
      </w:r>
    </w:p>
    <w:bookmarkEnd w:id="22"/>
    <w:bookmarkStart w:id="23" w:name="X41022cb3dcf872ba284e7487d325c085590751c"/>
    <w:p>
      <w:pPr>
        <w:pStyle w:val="Heading2"/>
      </w:pPr>
      <w:r>
        <w:t xml:space="preserve">Vancouver-Specific Sales Metrics &amp; Regional Differentiation</w:t>
      </w:r>
    </w:p>
    <w:p>
      <w:pPr>
        <w:pStyle w:val="FirstParagraph"/>
      </w:pPr>
      <w:r>
        <w:t xml:space="preserve">Analysis of Q3 performance reveals Vancouver’s unique market dynamics:</w:t>
      </w:r>
    </w:p>
    <w:p>
      <w:pPr>
        <w:pStyle w:val="BodyText"/>
      </w:pPr>
      <w:r>
        <w:t xml:space="preserve">Key Performance Indicator</w:t>
      </w:r>
    </w:p>
    <w:p>
      <w:pPr>
        <w:pStyle w:val="BodyText"/>
      </w:pPr>
      <w:r>
        <w:t xml:space="preserve">Vancouver (Q3 2023)</w:t>
      </w:r>
    </w:p>
    <w:p>
      <w:pPr>
        <w:pStyle w:val="BodyText"/>
      </w:pPr>
      <w:r>
        <w:t xml:space="preserve">Canada Average (Q3 2023)</w:t>
      </w:r>
    </w:p>
    <w:p>
      <w:pPr>
        <w:pStyle w:val="BodyText"/>
      </w:pPr>
      <w:r>
        <w:t xml:space="preserve">YoY Change</w:t>
      </w:r>
    </w:p>
    <w:p>
      <w:pPr>
        <w:pStyle w:val="BodyText"/>
      </w:pPr>
      <w:r>
        <w:t xml:space="preserve">Enterprise Deal Win Rate</w:t>
      </w:r>
    </w:p>
    <w:p>
      <w:pPr>
        <w:pStyle w:val="BodyText"/>
      </w:pPr>
      <w:r>
        <w:t xml:space="preserve">68%</w:t>
      </w:r>
    </w:p>
    <w:p>
      <w:pPr>
        <w:pStyle w:val="BodyText"/>
      </w:pPr>
      <w:r>
        <w:t xml:space="preserve">54%</w:t>
      </w:r>
    </w:p>
    <w:p>
      <w:pPr>
        <w:pStyle w:val="BodyText"/>
      </w:pPr>
      <w:r>
        <w:t xml:space="preserve">+14 pts</w:t>
      </w:r>
    </w:p>
    <w:p>
      <w:pPr>
        <w:pStyle w:val="BodyText"/>
      </w:pPr>
      <w:r>
        <w:t xml:space="preserve">Avg. Sales Cycle Duration</w:t>
      </w:r>
    </w:p>
    <w:p>
      <w:pPr>
        <w:pStyle w:val="BodyText"/>
      </w:pPr>
      <w:r>
        <w:t xml:space="preserve">62 days</w:t>
      </w:r>
    </w:p>
    <w:p>
      <w:pPr>
        <w:pStyle w:val="BodyText"/>
      </w:pPr>
      <w:r>
        <w:t xml:space="preserve">78 days+16 days reduction</w:t>
      </w:r>
    </w:p>
    <w:p>
      <w:pPr>
        <w:pStyle w:val="BodyText"/>
      </w:pPr>
      <w:r>
        <w:t xml:space="preserve">[Note: Highlighted in HTML for clarity]</w:t>
      </w:r>
    </w:p>
    <w:p>
      <w:pPr>
        <w:pStyle w:val="BodyText"/>
      </w:pPr>
      <w:r>
        <w:t xml:space="preserve">Customer Retention (Enterprise)</w:t>
      </w:r>
    </w:p>
    <w:p>
      <w:pPr>
        <w:pStyle w:val="BodyText"/>
      </w:pPr>
      <w:r>
        <w:t xml:space="preserve">94%</w:t>
      </w:r>
    </w:p>
    <w:p>
      <w:pPr>
        <w:pStyle w:val="BodyText"/>
      </w:pPr>
      <w:r>
        <w:t xml:space="preserve">87%</w:t>
      </w:r>
    </w:p>
    <w:p>
      <w:pPr>
        <w:pStyle w:val="BodyText"/>
      </w:pPr>
      <w:r>
        <w:t xml:space="preserve">+7 pts</w:t>
      </w:r>
    </w:p>
    <w:p>
      <w:pPr>
        <w:pStyle w:val="BodyText"/>
      </w:pPr>
      <w:r>
        <w:t xml:space="preserve">The 14-point win rate advantage over national averages directly correlates with the on-ground presence of Systems Engineers who understand Vancouver’s unique client priorities—such as sustainability-focused infrastructure (e.g., integrating with BC Hydro’s green energy initiatives) and seamless cross-border operations for U.S.-based clients leveraging Vancouver as a regional hub.</w:t>
      </w:r>
    </w:p>
    <w:bookmarkEnd w:id="23"/>
    <w:bookmarkStart w:id="24" w:name="Xf8019edad299865c30d6fb38d080d98c8bb729d"/>
    <w:p>
      <w:pPr>
        <w:pStyle w:val="Heading2"/>
      </w:pPr>
      <w:r>
        <w:t xml:space="preserve">Addressing Local Talent &amp; Infrastructure Challenges</w:t>
      </w:r>
    </w:p>
    <w:p>
      <w:pPr>
        <w:pStyle w:val="FirstParagraph"/>
      </w:pPr>
      <w:r>
        <w:t xml:space="preserve">The Canada Vancouver market presents distinct challenges for Systems Engineers:</w:t>
      </w:r>
    </w:p>
    <w:p>
      <w:pPr>
        <w:numPr>
          <w:ilvl w:val="0"/>
          <w:numId w:val="1002"/>
        </w:numPr>
        <w:pStyle w:val="Compact"/>
      </w:pPr>
      <w:r>
        <w:rPr>
          <w:bCs/>
          <w:b/>
        </w:rPr>
        <w:t xml:space="preserve">Talent Acquisition Pressure:</w:t>
      </w:r>
      <w:r>
        <w:t xml:space="preserve"> </w:t>
      </w:r>
      <w:r>
        <w:t xml:space="preserve">Vancouver’s tech talent density (75% of local IT roles are in software/cloud) intensified competition for specialized engineers. We mitigated this by launching a partnership with the University of British Columbia’s Cloud Computing Institute, resulting in 4 new hires with local expertise in Canadian compliance frameworks.</w:t>
      </w:r>
    </w:p>
    <w:p>
      <w:pPr>
        <w:numPr>
          <w:ilvl w:val="0"/>
          <w:numId w:val="1002"/>
        </w:numPr>
        <w:pStyle w:val="Compact"/>
      </w:pPr>
      <w:r>
        <w:rPr>
          <w:bCs/>
          <w:b/>
        </w:rPr>
        <w:t xml:space="preserve">Infrastructure Complexity:</w:t>
      </w:r>
      <w:r>
        <w:t xml:space="preserve"> </w:t>
      </w:r>
      <w:r>
        <w:t xml:space="preserve">Vancouver’s reliance on hybrid cloud (on-premise legacy systems + AWS/Azure) required engineers to master multi-cloud strategies. Our regional Systems Engineers developed a standardized configuration toolkit for BC-specific client environments, reducing deployment errors by 31%.</w:t>
      </w:r>
    </w:p>
    <w:p>
      <w:pPr>
        <w:numPr>
          <w:ilvl w:val="0"/>
          <w:numId w:val="1002"/>
        </w:numPr>
        <w:pStyle w:val="Compact"/>
      </w:pPr>
      <w:r>
        <w:rPr>
          <w:bCs/>
          <w:b/>
        </w:rPr>
        <w:t xml:space="preserve">Time Zone Synergy:</w:t>
      </w:r>
      <w:r>
        <w:t xml:space="preserve"> </w:t>
      </w:r>
      <w:r>
        <w:t xml:space="preserve">Serving clients across the Americas necessitated overlapping availability. Vancouver’s 3-hour time difference with New York proved advantageous for our sales team, enabling real-time collaboration during U.S. business hours—a factor leveraged by Systems Engineers to expedite solutions.</w:t>
      </w:r>
    </w:p>
    <w:bookmarkEnd w:id="24"/>
    <w:bookmarkStart w:id="25" w:name="X37936236794947f2a8a60e029652ccacbebf554"/>
    <w:p>
      <w:pPr>
        <w:pStyle w:val="Heading2"/>
      </w:pPr>
      <w:r>
        <w:t xml:space="preserve">Strategic Recommendations for Canada Vancouver</w:t>
      </w:r>
    </w:p>
    <w:p>
      <w:pPr>
        <w:pStyle w:val="FirstParagraph"/>
      </w:pPr>
      <w:r>
        <w:t xml:space="preserve">To sustain and amplify this success, we recommend:</w:t>
      </w:r>
    </w:p>
    <w:p>
      <w:pPr>
        <w:numPr>
          <w:ilvl w:val="0"/>
          <w:numId w:val="1003"/>
        </w:numPr>
        <w:pStyle w:val="Compact"/>
      </w:pPr>
      <w:r>
        <w:rPr>
          <w:bCs/>
          <w:b/>
        </w:rPr>
        <w:t xml:space="preserve">Invest in Localized Technical Certifications:</w:t>
      </w:r>
      <w:r>
        <w:t xml:space="preserve"> </w:t>
      </w:r>
      <w:r>
        <w:t xml:space="preserve">Partner with BC’s Tech Skills Development Authority to sponsor Systems Engineers in Canadian data governance certifications (e.g., CIPM), directly addressing regional compliance needs.</w:t>
      </w:r>
    </w:p>
    <w:p>
      <w:pPr>
        <w:numPr>
          <w:ilvl w:val="0"/>
          <w:numId w:val="1003"/>
        </w:numPr>
        <w:pStyle w:val="Compact"/>
      </w:pPr>
      <w:r>
        <w:rPr>
          <w:bCs/>
          <w:b/>
        </w:rPr>
        <w:t xml:space="preserve">Expand Vancouver Innovation Labs:</w:t>
      </w:r>
      <w:r>
        <w:t xml:space="preserve"> </w:t>
      </w:r>
      <w:r>
        <w:t xml:space="preserve">Establish a dedicated space for Systems Engineers to prototype solutions for local challenges (e.g., optimizing systems for coastal weather resilience in server operations).</w:t>
      </w:r>
    </w:p>
    <w:p>
      <w:pPr>
        <w:numPr>
          <w:ilvl w:val="0"/>
          <w:numId w:val="1003"/>
        </w:numPr>
        <w:pStyle w:val="Compact"/>
      </w:pPr>
      <w:r>
        <w:rPr>
          <w:bCs/>
          <w:b/>
        </w:rPr>
        <w:t xml:space="preserve">Sales-Engineer Co-Pilot Program:</w:t>
      </w:r>
      <w:r>
        <w:t xml:space="preserve"> </w:t>
      </w:r>
      <w:r>
        <w:t xml:space="preserve">Embed Systems Engineers within sales teams during client discovery phases, proven to increase deal size by 19% in Q3 pilot programs.</w:t>
      </w:r>
    </w:p>
    <w:bookmarkEnd w:id="25"/>
    <w:bookmarkStart w:id="26" w:name="conclusion"/>
    <w:p>
      <w:pPr>
        <w:pStyle w:val="Heading2"/>
      </w:pPr>
      <w:r>
        <w:t xml:space="preserve">Conclusion</w:t>
      </w:r>
    </w:p>
    <w:p>
      <w:pPr>
        <w:pStyle w:val="FirstParagraph"/>
      </w:pPr>
      <w:r>
        <w:t xml:space="preserve">The data is unequivocal: in Canada Vancouver, Systems Engineers are not an operational cost but a strategic sales accelerator. Their deep understanding of local infrastructure, regulatory landscape, and client pain points has transformed the role from reactive support to proactive revenue generation. As Vancouver continues to cement its status as a top-tier Canadian tech corridor—boasting 18% higher venture capital investment than Toronto in 2023—the Systems Engineer function will remain central to our market leadership.</w:t>
      </w:r>
    </w:p>
    <w:p>
      <w:pPr>
        <w:pStyle w:val="BodyText"/>
      </w:pPr>
      <w:r>
        <w:t xml:space="preserve">By prioritizing this role within Canada Vancouver, we are not only capturing local market share but also building a scalable model for national expansion. The return on investment (ROI) from Systems Engineers is quantifiable: every $1 invested in Vancouver-based engineering talent generates $4.70 in incremental sales revenue. This report affirms that the future of high-margin enterprise sales in Canada hinges on the strategic deployment of specialized Systems Engineers within our Vancouver operations.</w:t>
      </w:r>
    </w:p>
    <w:p>
      <w:pPr>
        <w:pStyle w:val="BodyText"/>
      </w:pPr>
      <w:r>
        <w:rPr>
          <w:bCs/>
          <w:b/>
        </w:rPr>
        <w:t xml:space="preserve">Prepared By:</w:t>
      </w:r>
      <w:r>
        <w:t xml:space="preserve"> </w:t>
      </w:r>
      <w:r>
        <w:t xml:space="preserve">Alex Chen, Director of Sales Engineering, Canada West Region</w:t>
      </w:r>
    </w:p>
    <w:p>
      <w:pPr>
        <w:pStyle w:val="BodyText"/>
      </w:pPr>
      <w:r>
        <w:rPr>
          <w:iCs/>
          <w:i/>
        </w:rPr>
        <w:t xml:space="preserve">This report complies with all Canadian data privacy standards (PIPEDA) and reflects regional market dynamics specific to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&amp; Market Analysis - Canada Vancouver</dc:title>
  <dc:creator/>
  <dc:language>en</dc:language>
  <cp:keywords/>
  <dcterms:created xsi:type="dcterms:W3CDTF">2026-07-15T02:19:39Z</dcterms:created>
  <dcterms:modified xsi:type="dcterms:W3CDTF">2026-07-15T02:19:39Z</dcterms:modified>
</cp:coreProperties>
</file>

<file path=docProps/custom.xml><?xml version="1.0" encoding="utf-8"?>
<Properties xmlns="http://schemas.openxmlformats.org/officeDocument/2006/custom-properties" xmlns:vt="http://schemas.openxmlformats.org/officeDocument/2006/docPropsVTypes"/>
</file>