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r>
        <w:t xml:space="preserve"> </w:t>
      </w:r>
      <w:r>
        <w:t xml:space="preserve">Market</w:t>
      </w:r>
    </w:p>
    <w:bookmarkStart w:id="31" w:name="X9dca17e2cd8905dddce2bf9bf95fa069b61181c"/>
    <w:p>
      <w:pPr>
        <w:pStyle w:val="Heading1"/>
      </w:pPr>
      <w:r>
        <w:t xml:space="preserve">Q3 2024 Quarterly Sales Report: Systems Engineering Excellence in Iran Tehran</w:t>
      </w:r>
    </w:p>
    <w:bookmarkStart w:id="20" w:name="executive-summary"/>
    <w:p>
      <w:pPr>
        <w:pStyle w:val="Heading2"/>
      </w:pPr>
      <w:r>
        <w:t xml:space="preserve">Executive Summary</w:t>
      </w:r>
    </w:p>
    <w:p>
      <w:pPr>
        <w:pStyle w:val="FirstParagraph"/>
      </w:pPr>
      <w:r>
        <w:t xml:space="preserve">This report details the performance of our Systems Engineering division across the dynamic market landscape of Tehran, Iran. As a premier provider of end-to-end systems engineering solutions, our team has achieved remarkable growth in Q3 2024, securing contracts with 17 major enterprises and governmental institutions within Tehran. The strategic focus on tailored infrastructure resilience and digital transformation directly addressed critical pain points across Iran's capital city ecosystem. With Tehran emerging as the undisputed hub for Iran's technology-driven economic expansion, our Systems Engineering expertise has positioned us at the forefront of this high-demand sector.</w:t>
      </w:r>
    </w:p>
    <w:bookmarkEnd w:id="20"/>
    <w:bookmarkStart w:id="21" w:name="Xed819b2dcf4288aebe7acfe33c6e5fb69ebb259"/>
    <w:p>
      <w:pPr>
        <w:pStyle w:val="Heading2"/>
      </w:pPr>
      <w:r>
        <w:t xml:space="preserve">Market Context: Why Tehran Demands Specialized Systems Engineering</w:t>
      </w:r>
    </w:p>
    <w:p>
      <w:pPr>
        <w:pStyle w:val="FirstParagraph"/>
      </w:pPr>
      <w:r>
        <w:t xml:space="preserve">Tehran's unique challenges – from complex urban infrastructure to stringent data localization requirements under Iran's National Cybersecurity Strategy – necessitate a specialized approach. Our Q3 sales analysis confirms that 89% of enterprise clients in Tehran prioritize systems engineering solutions that address:</w:t>
      </w:r>
    </w:p>
    <w:p>
      <w:pPr>
        <w:numPr>
          <w:ilvl w:val="0"/>
          <w:numId w:val="1001"/>
        </w:numPr>
        <w:pStyle w:val="Compact"/>
      </w:pPr>
      <w:r>
        <w:t xml:space="preserve">Power grid instability mitigation for critical data centers</w:t>
      </w:r>
    </w:p>
    <w:p>
      <w:pPr>
        <w:numPr>
          <w:ilvl w:val="0"/>
          <w:numId w:val="1001"/>
        </w:numPr>
        <w:pStyle w:val="Compact"/>
      </w:pPr>
      <w:r>
        <w:t xml:space="preserve">Compliance with Iran's new Data Sovereignty Regulations (Decree #120/2023)</w:t>
      </w:r>
    </w:p>
    <w:p>
      <w:pPr>
        <w:numPr>
          <w:ilvl w:val="0"/>
          <w:numId w:val="1001"/>
        </w:numPr>
        <w:pStyle w:val="Compact"/>
      </w:pPr>
      <w:r>
        <w:t xml:space="preserve">Scalable cloud-to-on-premise hybrid architectures for rapid urban expansion</w:t>
      </w:r>
    </w:p>
    <w:p>
      <w:pPr>
        <w:numPr>
          <w:ilvl w:val="0"/>
          <w:numId w:val="1001"/>
        </w:numPr>
        <w:pStyle w:val="Compact"/>
      </w:pPr>
      <w:r>
        <w:t xml:space="preserve">Localized cybersecurity protocols countering regional digital threats</w:t>
      </w:r>
    </w:p>
    <w:p>
      <w:pPr>
        <w:pStyle w:val="FirstParagraph"/>
      </w:pPr>
      <w:r>
        <w:t xml:space="preserve">The Tehran Municipal Corporation's 2035 Smart City Initiative, coupled with the Central Bank of Iran's fintech modernization drive, has created unprecedented demand for certified Systems Engineers fluent in both global best practices and Iranian regulatory frameworks.</w:t>
      </w:r>
    </w:p>
    <w:bookmarkEnd w:id="21"/>
    <w:bookmarkStart w:id="22" w:name="q3-sales-performance-key-metrics"/>
    <w:p>
      <w:pPr>
        <w:pStyle w:val="Heading2"/>
      </w:pPr>
      <w:r>
        <w:t xml:space="preserve">Q3 Sales Performance: Key Metrics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New Client Acquisition (Tehran)</w:t>
      </w:r>
    </w:p>
    <w:p>
      <w:pPr>
        <w:pStyle w:val="BodyText"/>
      </w:pPr>
      <w:r>
        <w:t xml:space="preserve">17 Enterprises</w:t>
      </w:r>
    </w:p>
    <w:p>
      <w:pPr>
        <w:pStyle w:val="BodyText"/>
      </w:pPr>
      <w:r>
        <w:t xml:space="preserve">9 Enterprises</w:t>
      </w:r>
    </w:p>
    <w:p>
      <w:pPr>
        <w:pStyle w:val="BodyText"/>
      </w:pPr>
      <w:r>
        <w:t xml:space="preserve">+88.9%</w:t>
      </w:r>
    </w:p>
    <w:p>
      <w:pPr>
        <w:pStyle w:val="BodyText"/>
      </w:pPr>
      <w:r>
        <w:t xml:space="preserve">Sales Volume (IRR)</w:t>
      </w:r>
    </w:p>
    <w:p>
      <w:pPr>
        <w:pStyle w:val="BodyText"/>
      </w:pPr>
      <w:r>
        <w:t xml:space="preserve">32,450,000,000</w:t>
      </w:r>
    </w:p>
    <w:p>
      <w:pPr>
        <w:pStyle w:val="BodyText"/>
      </w:pPr>
      <w:r>
        <w:t xml:space="preserve">17,215,648,321</w:t>
      </w:r>
    </w:p>
    <w:p>
      <w:pPr>
        <w:pStyle w:val="BodyText"/>
      </w:pPr>
      <w:r>
        <w:t xml:space="preserve">+88.5%</w:t>
      </w:r>
    </w:p>
    <w:p>
      <w:pPr>
        <w:pStyle w:val="BodyText"/>
      </w:pPr>
      <w:r>
        <w:t xml:space="preserve">Systems Engineer Deployment Density</w:t>
      </w:r>
    </w:p>
    <w:p>
      <w:pPr>
        <w:pStyle w:val="BodyText"/>
      </w:pPr>
      <w:r>
        <w:t xml:space="preserve">23 Engineers in Tehran</w:t>
      </w:r>
    </w:p>
    <w:p>
      <w:pPr>
        <w:pStyle w:val="BodyText"/>
      </w:pPr>
      <w:r>
        <w:t xml:space="preserve">14 Engineers in Tehran</w:t>
      </w:r>
    </w:p>
    <w:p>
      <w:pPr>
        <w:pStyle w:val="BodyText"/>
      </w:pPr>
      <w:r>
        <w:t xml:space="preserve">+64.3%</w:t>
      </w:r>
    </w:p>
    <w:bookmarkEnd w:id="22"/>
    <w:bookmarkStart w:id="26" w:name="tehran-specific-sales-success-stories"/>
    <w:p>
      <w:pPr>
        <w:pStyle w:val="Heading2"/>
      </w:pPr>
      <w:r>
        <w:t xml:space="preserve">Tehran-Specific Sales Success Stories</w:t>
      </w:r>
    </w:p>
    <w:bookmarkStart w:id="23" w:name="X89293efcf3b65c15850bb4670cf8cd691200c79"/>
    <w:p>
      <w:pPr>
        <w:pStyle w:val="Heading3"/>
      </w:pPr>
      <w:r>
        <w:t xml:space="preserve">1. Tehran Metro Digital Transformation Project (Contract Value: 8,500,000,000 IRR)</w:t>
      </w:r>
    </w:p>
    <w:p>
      <w:pPr>
        <w:pStyle w:val="FirstParagraph"/>
      </w:pPr>
      <w:r>
        <w:t xml:space="preserve">Our Systems Engineering team implemented an AI-powered infrastructure monitoring platform for Tehran's underground transit network. By integrating IoT sensors across 247 stations and developing Iran-compliant data processing protocols, we reduced system failure response time by 68% within the first three months of deployment. This project exemplifies how our Tehran-based engineers navigate complex urban environments while adhering to national security standards.</w:t>
      </w:r>
    </w:p>
    <w:bookmarkEnd w:id="23"/>
    <w:bookmarkStart w:id="24" w:name="X56ad6212a26f613d114308a1f63b32e76ac82d6"/>
    <w:p>
      <w:pPr>
        <w:pStyle w:val="Heading3"/>
      </w:pPr>
      <w:r>
        <w:t xml:space="preserve">2. Bank Melli Iran Cloud Migration (Contract Value: 11,200,000,000 IRR)</w:t>
      </w:r>
    </w:p>
    <w:p>
      <w:pPr>
        <w:pStyle w:val="FirstParagraph"/>
      </w:pPr>
      <w:r>
        <w:t xml:space="preserve">Addressing the Central Bank of Iran's directive for domestic data centers, our Systems Engineers designed a hybrid cloud architecture with 99.98% uptime SLA. The solution included locally-managed encryption modules and Tehran-based disaster recovery facilities – directly meeting requirements that prompted 72% of financial institutions to seek specialized engineering partners.</w:t>
      </w:r>
    </w:p>
    <w:bookmarkEnd w:id="24"/>
    <w:bookmarkStart w:id="25" w:name="Xdf3ecfade9a54d04175a0537c255060a7c59211"/>
    <w:p>
      <w:pPr>
        <w:pStyle w:val="Heading3"/>
      </w:pPr>
      <w:r>
        <w:t xml:space="preserve">3. Sharif University Smart Campus Initiative (Contract Value: 4,100,000,000 IRR)</w:t>
      </w:r>
    </w:p>
    <w:p>
      <w:pPr>
        <w:pStyle w:val="FirstParagraph"/>
      </w:pPr>
      <w:r>
        <w:t xml:space="preserve">Deploying a unified campus systems platform across Tehran's most prestigious academic institution required deep understanding of Iranian educational infrastructure needs. Our Systems Engineers coordinated with the Ministry of Science to integrate legacy systems while ensuring compliance with Iran's Academic Data Protection Act – resulting in 24/7 network availability for 50,000+ students and faculty.</w:t>
      </w:r>
    </w:p>
    <w:bookmarkEnd w:id="25"/>
    <w:bookmarkEnd w:id="26"/>
    <w:bookmarkStart w:id="27" w:name="X133fbd0d153916da69be58e8380739e9c5caa70"/>
    <w:p>
      <w:pPr>
        <w:pStyle w:val="Heading2"/>
      </w:pPr>
      <w:r>
        <w:t xml:space="preserve">Strategic Insights: The Tehran Systems Engineering Advantage</w:t>
      </w:r>
    </w:p>
    <w:p>
      <w:pPr>
        <w:pStyle w:val="FirstParagraph"/>
      </w:pPr>
      <w:r>
        <w:t xml:space="preserve">Our sales data reveals three critical factors driving success in Iran's capital:</w:t>
      </w:r>
    </w:p>
    <w:p>
      <w:pPr>
        <w:numPr>
          <w:ilvl w:val="0"/>
          <w:numId w:val="1002"/>
        </w:numPr>
        <w:pStyle w:val="Compact"/>
      </w:pPr>
      <w:r>
        <w:rPr>
          <w:bCs/>
          <w:b/>
        </w:rPr>
        <w:t xml:space="preserve">Cultural Fluency:</w:t>
      </w:r>
      <w:r>
        <w:t xml:space="preserve"> </w:t>
      </w:r>
      <w:r>
        <w:t xml:space="preserve">All Tehran-based Systems Engineers undergo mandatory training in Persian business etiquette and local regulatory nuances. This has reduced project onboarding time by 41% compared to international competitors.</w:t>
      </w:r>
    </w:p>
    <w:p>
      <w:pPr>
        <w:numPr>
          <w:ilvl w:val="0"/>
          <w:numId w:val="1002"/>
        </w:numPr>
        <w:pStyle w:val="Compact"/>
      </w:pPr>
      <w:r>
        <w:rPr>
          <w:bCs/>
          <w:b/>
        </w:rPr>
        <w:t xml:space="preserve">Localized Innovation:</w:t>
      </w:r>
      <w:r>
        <w:t xml:space="preserve"> </w:t>
      </w:r>
      <w:r>
        <w:t xml:space="preserve">Our Tehran R&amp;D hub developed the "Tehran Resilience Module" – a power surge protection system specifically calibrated for Iran's grid fluctuations (proven effective during Q3's major brownout event).</w:t>
      </w:r>
    </w:p>
    <w:p>
      <w:pPr>
        <w:numPr>
          <w:ilvl w:val="0"/>
          <w:numId w:val="1002"/>
        </w:numPr>
        <w:pStyle w:val="Compact"/>
      </w:pPr>
      <w:r>
        <w:rPr>
          <w:bCs/>
          <w:b/>
        </w:rPr>
        <w:t xml:space="preserve">Ecosystem Partnerships:</w:t>
      </w:r>
      <w:r>
        <w:t xml:space="preserve"> </w:t>
      </w:r>
      <w:r>
        <w:t xml:space="preserve">Strategic alliances with Tehran Chamber of Commerce, Karaj Industrial Zone developers, and Tehran University have created a 32% higher lead conversion rate than industry average.</w:t>
      </w:r>
    </w:p>
    <w:bookmarkEnd w:id="27"/>
    <w:bookmarkStart w:id="28" w:name="challenges-and-tactical-responses"/>
    <w:p>
      <w:pPr>
        <w:pStyle w:val="Heading2"/>
      </w:pPr>
      <w:r>
        <w:t xml:space="preserve">Challenges and Tactical Responses</w:t>
      </w:r>
    </w:p>
    <w:p>
      <w:pPr>
        <w:pStyle w:val="FirstParagraph"/>
      </w:pPr>
      <w:r>
        <w:t xml:space="preserve">While demand surged, we faced two primary challenges in Q3:</w:t>
      </w:r>
    </w:p>
    <w:p>
      <w:pPr>
        <w:numPr>
          <w:ilvl w:val="0"/>
          <w:numId w:val="1003"/>
        </w:numPr>
        <w:pStyle w:val="Compact"/>
      </w:pPr>
      <w:r>
        <w:rPr>
          <w:iCs/>
          <w:i/>
        </w:rPr>
        <w:t xml:space="preserve">Regulatory Complexity:</w:t>
      </w:r>
      <w:r>
        <w:t xml:space="preserve"> </w:t>
      </w:r>
      <w:r>
        <w:t xml:space="preserve">Iran's evolving cybersecurity framework required 14 engineers to obtain additional certifications from the National Information Security Agency (NISA). Our investment in certification programs yielded a 92% project approval rate.</w:t>
      </w:r>
    </w:p>
    <w:p>
      <w:pPr>
        <w:numPr>
          <w:ilvl w:val="0"/>
          <w:numId w:val="1003"/>
        </w:numPr>
        <w:pStyle w:val="Compact"/>
      </w:pPr>
      <w:r>
        <w:rPr>
          <w:iCs/>
          <w:i/>
        </w:rPr>
        <w:t xml:space="preserve">Resource Competition:</w:t>
      </w:r>
      <w:r>
        <w:t xml:space="preserve"> </w:t>
      </w:r>
      <w:r>
        <w:t xml:space="preserve">A surge in global tech firms targeting Tehran led to bidding wars. We countered by emphasizing our established Tehran presence – with 83% of engineers based within the city limits – allowing for faster response times and deeper understanding of local infrastructure constraints.</w:t>
      </w:r>
    </w:p>
    <w:bookmarkEnd w:id="28"/>
    <w:bookmarkStart w:id="29" w:name="Xed6235210aa1de7dc8bb1e626a38ea97e1a46a8"/>
    <w:p>
      <w:pPr>
        <w:pStyle w:val="Heading2"/>
      </w:pPr>
      <w:r>
        <w:t xml:space="preserve">Q4 Outlook: Cementing Our Position in Iran's Capital</w:t>
      </w:r>
    </w:p>
    <w:p>
      <w:pPr>
        <w:pStyle w:val="FirstParagraph"/>
      </w:pPr>
      <w:r>
        <w:t xml:space="preserve">Based on current pipeline analysis, we project 115% YoY growth for Tehran Systems Engineering services. Key initiatives include:</w:t>
      </w:r>
    </w:p>
    <w:p>
      <w:pPr>
        <w:numPr>
          <w:ilvl w:val="0"/>
          <w:numId w:val="1004"/>
        </w:numPr>
        <w:pStyle w:val="Compact"/>
      </w:pPr>
      <w:r>
        <w:t xml:space="preserve">Expanding our Tehran-based engineering team to 35 specialists by December 2024</w:t>
      </w:r>
    </w:p>
    <w:p>
      <w:pPr>
        <w:numPr>
          <w:ilvl w:val="0"/>
          <w:numId w:val="1004"/>
        </w:numPr>
        <w:pStyle w:val="Compact"/>
      </w:pPr>
      <w:r>
        <w:t xml:space="preserve">Leveraging success from the Tehran Metro project to bid on the $1.2B National Smart Grid Initiative</w:t>
      </w:r>
    </w:p>
    <w:p>
      <w:pPr>
        <w:numPr>
          <w:ilvl w:val="0"/>
          <w:numId w:val="1004"/>
        </w:numPr>
        <w:pStyle w:val="Compact"/>
      </w:pPr>
      <w:r>
        <w:t xml:space="preserve">Launching "Systems Engineering for Tehran" certification program in partnership with Amirkabir University</w:t>
      </w:r>
    </w:p>
    <w:bookmarkEnd w:id="29"/>
    <w:bookmarkStart w:id="30" w:name="X9d9e2f6c256afc4fafeb16e0b8a017b297f09c1"/>
    <w:p>
      <w:pPr>
        <w:pStyle w:val="Heading2"/>
      </w:pPr>
      <w:r>
        <w:t xml:space="preserve">Conclusion: The Irreplaceable Value of Localized Systems Expertise</w:t>
      </w:r>
    </w:p>
    <w:p>
      <w:pPr>
        <w:pStyle w:val="FirstParagraph"/>
      </w:pPr>
      <w:r>
        <w:t xml:space="preserve">This Q3 Sales Report underscores a pivotal truth for Iran's technology landscape: successful Systems Engineering delivery in Tehran demands more than technical skill – it requires deep contextual understanding. Our engineers don't just implement systems; they engineer solutions that harmonize with Iran's infrastructure realities, regulatory environment, and urban scale. The 88% quarterly sales growth in Tehran is not accidental – it's the direct result of placing certified Systems Engineers at the heart of Iran's most critical digital transformation projects.</w:t>
      </w:r>
    </w:p>
    <w:p>
      <w:pPr>
        <w:pStyle w:val="BodyText"/>
      </w:pPr>
      <w:r>
        <w:t xml:space="preserve">As Tehran accelerates toward its goal of becoming a top-5 global smart city by 2030, our commitment to delivering localized Systems Engineering excellence will remain our cornerstone strategy. This report confirms that when it comes to building Tehran's digital future, specialized engineering expertise is no longer an option – it's the very foundation of success.</w:t>
      </w:r>
    </w:p>
    <w:p>
      <w:pPr>
        <w:pStyle w:val="BodyText"/>
      </w:pPr>
      <w:r>
        <w:rPr>
          <w:bCs/>
          <w:b/>
        </w:rPr>
        <w:t xml:space="preserve">Prepared For:</w:t>
      </w:r>
      <w:r>
        <w:t xml:space="preserve"> </w:t>
      </w:r>
      <w:r>
        <w:t xml:space="preserve">Executive Leadership, Iran Tehran Operations Division</w:t>
      </w:r>
    </w:p>
    <w:p>
      <w:pPr>
        <w:pStyle w:val="BodyText"/>
      </w:pPr>
      <w:r>
        <w:rPr>
          <w:bCs/>
          <w:b/>
        </w:rPr>
        <w:t xml:space="preserve">Date:</w:t>
      </w:r>
      <w:r>
        <w:t xml:space="preserve"> </w:t>
      </w:r>
      <w:r>
        <w:t xml:space="preserve">October 26, 2024</w:t>
      </w:r>
    </w:p>
    <w:p>
      <w:pPr>
        <w:pStyle w:val="BodyText"/>
      </w:pPr>
      <w:r>
        <w:rPr>
          <w:bCs/>
          <w:b/>
        </w:rPr>
        <w:t xml:space="preserve">Total Word Count:</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Solutions for Iran Tehran Market</dc:title>
  <dc:creator/>
  <dc:language>en</dc:language>
  <cp:keywords/>
  <dcterms:created xsi:type="dcterms:W3CDTF">2026-07-13T17:03:04Z</dcterms:created>
  <dcterms:modified xsi:type="dcterms:W3CDTF">2026-07-13T17:03:04Z</dcterms:modified>
</cp:coreProperties>
</file>

<file path=docProps/custom.xml><?xml version="1.0" encoding="utf-8"?>
<Properties xmlns="http://schemas.openxmlformats.org/officeDocument/2006/custom-properties" xmlns:vt="http://schemas.openxmlformats.org/officeDocument/2006/docPropsVTypes"/>
</file>