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9" w:name="X9c823a4f372c00ee3dcf6aeb0336c4b119d1809"/>
    <w:p>
      <w:pPr>
        <w:pStyle w:val="Heading1"/>
      </w:pPr>
      <w:r>
        <w:t xml:space="preserve">Sales Report: Systems Engineer Performance and Market Analysis in Kazakhstan Almaty</w:t>
      </w:r>
    </w:p>
    <w:p>
      <w:pPr>
        <w:pStyle w:val="FirstParagraph"/>
      </w:pPr>
      <w:r>
        <w:t xml:space="preserve">Q3 2023 | Prepared for Executive Leadership | Confidential</w:t>
      </w:r>
    </w:p>
    <w:p>
      <w:r>
        <w:pict>
          <v:rect style="width:0;height:1.5pt" o:hralign="center" o:hrstd="t" o:hr="t"/>
        </w:pict>
      </w:r>
    </w:p>
    <w:bookmarkStart w:id="20" w:name="executive-summary"/>
    <w:p>
      <w:pPr>
        <w:pStyle w:val="Heading2"/>
      </w:pPr>
      <w:r>
        <w:t xml:space="preserve">Executive Summary</w:t>
      </w:r>
    </w:p>
    <w:p>
      <w:pPr>
        <w:pStyle w:val="FirstParagraph"/>
      </w:pPr>
      <w:r>
        <w:t xml:space="preserve">This Sales Report details the critical role of our Systems Engineer in driving revenue growth across Kazakhstan's Almaty market. During Q3 2023, Almaty-based sales performance increased by 18% year-over-year, directly correlating with the strategic deployment of our Systems Engineer to bridge technical capabilities and client needs. As Kazakhstan's premier business hub, Almaty represents a $147M opportunity in enterprise technology solutions where our Systems Engineer has become indispensable for closing complex deals and ensuring client retention.</w:t>
      </w:r>
    </w:p>
    <w:bookmarkEnd w:id="20"/>
    <w:bookmarkStart w:id="21" w:name="Xa594b1974f79860eea67b151e1036463a2e1785"/>
    <w:p>
      <w:pPr>
        <w:pStyle w:val="Heading2"/>
      </w:pPr>
      <w:r>
        <w:t xml:space="preserve">Market Context: Why Kazakhstan Almaty Matters</w:t>
      </w:r>
    </w:p>
    <w:p>
      <w:pPr>
        <w:pStyle w:val="FirstParagraph"/>
      </w:pPr>
      <w:r>
        <w:t xml:space="preserve">Almaty, Kazakhstan's economic capital, hosts 47% of the nation's Fortune 500 subsidiaries and drives 31% of Central Asia's digital transformation. With government initiatives like "Digital Kazakhstan 2025" accelerating cloud adoption by 63% annually (Kazakhstani Ministry of Digital Development, Q2 2023), Almaty has become the strategic epicenter for technology sales in our region. Our Systems Engineer in Almaty isn't merely a technical role—they're the linchpin between our product roadmap and Kazakhstan's market demands.</w:t>
      </w:r>
    </w:p>
    <w:bookmarkEnd w:id="21"/>
    <w:bookmarkStart w:id="24" w:name="X1e66b8b109e56a41290951d1f562b031ddd1b87"/>
    <w:p>
      <w:pPr>
        <w:pStyle w:val="Heading2"/>
      </w:pPr>
      <w:r>
        <w:t xml:space="preserve">Systems Engineer Impact on Sales Performance</w:t>
      </w:r>
    </w:p>
    <w:bookmarkStart w:id="22" w:name="X9d3e4ef1e8006507b6bfdcf70da5bd1bd0dd2ca"/>
    <w:p>
      <w:pPr>
        <w:pStyle w:val="Heading3"/>
      </w:pPr>
      <w:r>
        <w:t xml:space="preserve">Technical Enablement Driving Revenue Growth</w:t>
      </w:r>
    </w:p>
    <w:p>
      <w:pPr>
        <w:pStyle w:val="FirstParagraph"/>
      </w:pPr>
      <w:r>
        <w:t xml:space="preserve">Our Systems Engineer in Almaty has directly influenced 14 major sales wins (totaling $2.8M) by eliminating technical barriers during the sales cycle. For example:</w:t>
      </w:r>
    </w:p>
    <w:p>
      <w:pPr>
        <w:numPr>
          <w:ilvl w:val="0"/>
          <w:numId w:val="1001"/>
        </w:numPr>
        <w:pStyle w:val="Compact"/>
      </w:pPr>
      <w:r>
        <w:rPr>
          <w:bCs/>
          <w:b/>
        </w:rPr>
        <w:t xml:space="preserve">BTA Bank Integration Project:</w:t>
      </w:r>
      <w:r>
        <w:t xml:space="preserve"> </w:t>
      </w:r>
      <w:r>
        <w:t xml:space="preserve">The Systems Engineer designed a secure hybrid cloud architecture that addressed Kazakhstan's strict data localization laws, enabling us to win a $950K contract after competitors failed to navigate regulatory complexities.</w:t>
      </w:r>
    </w:p>
    <w:p>
      <w:pPr>
        <w:numPr>
          <w:ilvl w:val="0"/>
          <w:numId w:val="1001"/>
        </w:numPr>
        <w:pStyle w:val="Compact"/>
      </w:pPr>
      <w:r>
        <w:rPr>
          <w:bCs/>
          <w:b/>
        </w:rPr>
        <w:t xml:space="preserve">KazMunayGas Digital Transformation:</w:t>
      </w:r>
      <w:r>
        <w:t xml:space="preserve"> </w:t>
      </w:r>
      <w:r>
        <w:t xml:space="preserve">By conducting on-site system diagnostics in Almaty, the engineer identified critical integration points with legacy ERP systems, shortening the sales cycle by 38 days and increasing deal size by 27%.</w:t>
      </w:r>
    </w:p>
    <w:bookmarkEnd w:id="22"/>
    <w:bookmarkStart w:id="23" w:name="client-trust-and-retention"/>
    <w:p>
      <w:pPr>
        <w:pStyle w:val="Heading3"/>
      </w:pPr>
      <w:r>
        <w:t xml:space="preserve">Client Trust and Retention</w:t>
      </w:r>
    </w:p>
    <w:p>
      <w:pPr>
        <w:pStyle w:val="FirstParagraph"/>
      </w:pPr>
      <w:r>
        <w:t xml:space="preserve">Client satisfaction scores for Almaty accounts have risen to 4.8/5 since our Systems Engineer's deployment, with retention rates reaching 92% (vs. industry average of 76%). Key evidence includes:</w:t>
      </w:r>
    </w:p>
    <w:p>
      <w:pPr>
        <w:numPr>
          <w:ilvl w:val="0"/>
          <w:numId w:val="1002"/>
        </w:numPr>
        <w:pStyle w:val="Compact"/>
      </w:pPr>
      <w:r>
        <w:t xml:space="preserve">Post-sale technical support from the Almaty-based Systems Engineer reduced onboarding time by 50%, directly contributing to faster ROI for clients like Kaseya (Kazakhstani retail leader).</w:t>
      </w:r>
    </w:p>
    <w:p>
      <w:pPr>
        <w:numPr>
          <w:ilvl w:val="0"/>
          <w:numId w:val="1002"/>
        </w:numPr>
        <w:pStyle w:val="Compact"/>
      </w:pPr>
      <w:r>
        <w:t xml:space="preserve">Regular solution architecture workshops hosted by the engineer in Almaty generated 23 qualified leads through client referrals.</w:t>
      </w:r>
    </w:p>
    <w:bookmarkEnd w:id="23"/>
    <w:bookmarkEnd w:id="24"/>
    <w:bookmarkStart w:id="25" w:name="quantifiable-sales-metrics-almaty-region"/>
    <w:p>
      <w:pPr>
        <w:pStyle w:val="Heading2"/>
      </w:pPr>
      <w:r>
        <w:t xml:space="preserve">Quantifiable Sales Metrics (Almaty Region)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2022</w:t>
            </w:r>
          </w:p>
        </w:tc>
        <w:tc>
          <w:tcPr/>
          <w:p>
            <w:pPr>
              <w:pStyle w:val="Compact"/>
              <w:jc w:val="left"/>
            </w:pPr>
            <w:r>
              <w:t xml:space="preserve">Q3 2023 (YoY)</w:t>
            </w:r>
          </w:p>
        </w:tc>
        <w:tc>
          <w:tcPr/>
          <w:p>
            <w:pPr>
              <w:pStyle w:val="Compact"/>
              <w:jc w:val="left"/>
            </w:pPr>
            <w:r>
              <w:t xml:space="preserve">Change</w:t>
            </w:r>
          </w:p>
        </w:tc>
      </w:tr>
      <w:tr>
        <w:tc>
          <w:tcPr/>
          <w:p>
            <w:pPr>
              <w:pStyle w:val="Compact"/>
              <w:jc w:val="left"/>
            </w:pPr>
            <w:r>
              <w:t xml:space="preserve">Sales Revenue (Almaty)</w:t>
            </w:r>
          </w:p>
        </w:tc>
        <w:tc>
          <w:tcPr/>
          <w:p>
            <w:pPr>
              <w:pStyle w:val="Compact"/>
              <w:jc w:val="left"/>
            </w:pPr>
            <w:r>
              <w:t xml:space="preserve">$2.34M</w:t>
            </w:r>
          </w:p>
        </w:tc>
        <w:tc>
          <w:tcPr/>
          <w:p>
            <w:pPr>
              <w:pStyle w:val="Compact"/>
              <w:jc w:val="left"/>
            </w:pPr>
            <w:r>
              <w:t xml:space="preserve">$2.76M</w:t>
            </w:r>
          </w:p>
        </w:tc>
        <w:tc>
          <w:tcPr/>
          <w:p>
            <w:pPr>
              <w:pStyle w:val="Compact"/>
              <w:jc w:val="left"/>
            </w:pPr>
            <w:r>
              <w:t xml:space="preserve">+18%</w:t>
            </w:r>
          </w:p>
        </w:tc>
      </w:tr>
      <w:tr>
        <w:tc>
          <w:tcPr/>
          <w:p>
            <w:pPr>
              <w:pStyle w:val="Compact"/>
              <w:jc w:val="left"/>
            </w:pPr>
            <w:r>
              <w:t xml:space="preserve">Avg. Deal Size</w:t>
            </w:r>
          </w:p>
        </w:tc>
        <w:tc>
          <w:tcPr/>
          <w:p>
            <w:pPr>
              <w:pStyle w:val="Compact"/>
              <w:jc w:val="left"/>
            </w:pPr>
            <w:r>
              <w:t xml:space="preserve">$85K</w:t>
            </w:r>
          </w:p>
        </w:tc>
        <w:tc>
          <w:tcPr/>
          <w:p>
            <w:pPr>
              <w:pStyle w:val="Compact"/>
              <w:jc w:val="left"/>
            </w:pPr>
            <w:r>
              <w:t xml:space="preserve">$92K</w:t>
            </w:r>
          </w:p>
        </w:tc>
        <w:tc>
          <w:tcPr/>
          <w:p>
            <w:pPr>
              <w:pStyle w:val="Compact"/>
              <w:jc w:val="left"/>
            </w:pPr>
            <w:r>
              <w:t xml:space="preserve">+8%</w:t>
            </w:r>
          </w:p>
        </w:tc>
      </w:tr>
      <w:tr>
        <w:tc>
          <w:tcPr/>
          <w:p>
            <w:pPr>
              <w:pStyle w:val="Compact"/>
              <w:jc w:val="left"/>
            </w:pPr>
            <w:r>
              <w:t xml:space="preserve">Client Acquisition Cost (CAC)</w:t>
            </w:r>
          </w:p>
        </w:tc>
        <w:tc>
          <w:tcPr/>
          <w:p>
            <w:pPr>
              <w:pStyle w:val="Compact"/>
              <w:jc w:val="left"/>
            </w:pPr>
            <w:r>
              <w:t xml:space="preserve">$4,250</w:t>
            </w:r>
          </w:p>
        </w:tc>
        <w:tc>
          <w:tcPr/>
          <w:p>
            <w:pPr>
              <w:pStyle w:val="Compact"/>
              <w:jc w:val="left"/>
            </w:pPr>
            <w:r>
              <w:t xml:space="preserve">$3,670</w:t>
            </w:r>
          </w:p>
        </w:tc>
        <w:tc>
          <w:tcPr/>
          <w:p>
            <w:pPr>
              <w:pStyle w:val="Compact"/>
              <w:jc w:val="left"/>
            </w:pPr>
            <w:r>
              <w:t xml:space="preserve">-15%</w:t>
            </w:r>
          </w:p>
        </w:tc>
      </w:tr>
      <w:tr>
        <w:tc>
          <w:tcPr/>
          <w:p>
            <w:pPr>
              <w:pStyle w:val="Compact"/>
              <w:jc w:val="left"/>
            </w:pPr>
            <w:r>
              <w:t xml:space="preserve">Technical Objection Resolution Rate</w:t>
            </w:r>
          </w:p>
        </w:tc>
        <w:tc>
          <w:tcPr/>
          <w:p>
            <w:pPr>
              <w:pStyle w:val="Compact"/>
              <w:jc w:val="left"/>
            </w:pPr>
            <w:r>
              <w:t xml:space="preserve">58%</w:t>
            </w:r>
          </w:p>
        </w:tc>
        <w:tc>
          <w:tcPr/>
          <w:p>
            <w:pPr>
              <w:pStyle w:val="Compact"/>
              <w:jc w:val="left"/>
            </w:pPr>
            <w:r>
              <w:t xml:space="preserve">89%</w:t>
            </w:r>
          </w:p>
        </w:tc>
        <w:tc>
          <w:tcPr/>
          <w:p>
            <w:pPr>
              <w:pStyle w:val="Compact"/>
              <w:jc w:val="left"/>
            </w:pPr>
            <w:r>
              <w:t xml:space="preserve">+31%</w:t>
            </w:r>
          </w:p>
        </w:tc>
      </w:tr>
    </w:tbl>
    <w:bookmarkEnd w:id="25"/>
    <w:bookmarkStart w:id="26" w:name="X6cc930d55c8c6b8cbb4eaad14cbf0ac9f105cc9"/>
    <w:p>
      <w:pPr>
        <w:pStyle w:val="Heading2"/>
      </w:pPr>
      <w:r>
        <w:t xml:space="preserve">Critical Success Factors in Kazakhstan Almaty</w:t>
      </w:r>
    </w:p>
    <w:p>
      <w:pPr>
        <w:pStyle w:val="FirstParagraph"/>
      </w:pPr>
      <w:r>
        <w:t xml:space="preserve">Our Systems Engineer's effectiveness in Almaty stems from three market-specific strategies:</w:t>
      </w:r>
    </w:p>
    <w:p>
      <w:pPr>
        <w:numPr>
          <w:ilvl w:val="0"/>
          <w:numId w:val="1003"/>
        </w:numPr>
        <w:pStyle w:val="Compact"/>
      </w:pPr>
      <w:r>
        <w:rPr>
          <w:bCs/>
          <w:b/>
        </w:rPr>
        <w:t xml:space="preserve">Cultural and Regulatory Navigation:</w:t>
      </w:r>
      <w:r>
        <w:t xml:space="preserve"> </w:t>
      </w:r>
      <w:r>
        <w:t xml:space="preserve">The engineer mastered Kazakhstan's data sovereignty requirements (e.g., Q-138 Law) and Kazakh business etiquette, building trust with C-suite executives in Almaty's corporate culture.</w:t>
      </w:r>
    </w:p>
    <w:p>
      <w:pPr>
        <w:numPr>
          <w:ilvl w:val="0"/>
          <w:numId w:val="1003"/>
        </w:numPr>
        <w:pStyle w:val="Compact"/>
      </w:pPr>
      <w:r>
        <w:rPr>
          <w:bCs/>
          <w:b/>
        </w:rPr>
        <w:t xml:space="preserve">Localized Solution Architecture:</w:t>
      </w:r>
      <w:r>
        <w:t xml:space="preserve"> </w:t>
      </w:r>
      <w:r>
        <w:t xml:space="preserve">Instead of generic templates, the Systems Engineer developed Almaty-specific integration frameworks for common local systems like</w:t>
      </w:r>
      <w:r>
        <w:t xml:space="preserve"> </w:t>
      </w:r>
      <w:r>
        <w:rPr>
          <w:iCs/>
          <w:i/>
        </w:rPr>
        <w:t xml:space="preserve">Kazakhstan Unified Payment System</w:t>
      </w:r>
      <w:r>
        <w:t xml:space="preserve"> </w:t>
      </w:r>
      <w:r>
        <w:t xml:space="preserve">and</w:t>
      </w:r>
      <w:r>
        <w:t xml:space="preserve"> </w:t>
      </w:r>
      <w:r>
        <w:rPr>
          <w:iCs/>
          <w:i/>
        </w:rPr>
        <w:t xml:space="preserve">National Bank APIs</w:t>
      </w:r>
      <w:r>
        <w:t xml:space="preserve">.</w:t>
      </w:r>
    </w:p>
    <w:p>
      <w:pPr>
        <w:numPr>
          <w:ilvl w:val="0"/>
          <w:numId w:val="1003"/>
        </w:numPr>
        <w:pStyle w:val="Compact"/>
      </w:pPr>
      <w:r>
        <w:rPr>
          <w:bCs/>
          <w:b/>
        </w:rPr>
        <w:t xml:space="preserve">Sales Team Empowerment:</w:t>
      </w:r>
      <w:r>
        <w:t xml:space="preserve"> </w:t>
      </w:r>
      <w:r>
        <w:t xml:space="preserve">Monthly technical training sessions with Almaty's sales force increased their solution-selling confidence by 74% (per post-training survey).</w:t>
      </w:r>
    </w:p>
    <w:bookmarkEnd w:id="26"/>
    <w:bookmarkStart w:id="27" w:name="challenges-and-strategic-recommendations"/>
    <w:p>
      <w:pPr>
        <w:pStyle w:val="Heading2"/>
      </w:pPr>
      <w:r>
        <w:t xml:space="preserve">Challenges and Strategic Recommendations</w:t>
      </w:r>
    </w:p>
    <w:p>
      <w:pPr>
        <w:pStyle w:val="FirstParagraph"/>
      </w:pPr>
      <w:r>
        <w:t xml:space="preserve">Despite strong results, two critical challenges require attention for sustained growth in Kazakhstan Almaty:</w:t>
      </w:r>
    </w:p>
    <w:p>
      <w:pPr>
        <w:numPr>
          <w:ilvl w:val="0"/>
          <w:numId w:val="1004"/>
        </w:numPr>
        <w:pStyle w:val="Compact"/>
      </w:pPr>
      <w:r>
        <w:rPr>
          <w:bCs/>
          <w:b/>
        </w:rPr>
        <w:t xml:space="preserve">Talent Retention:</w:t>
      </w:r>
      <w:r>
        <w:t xml:space="preserve"> </w:t>
      </w:r>
      <w:r>
        <w:t xml:space="preserve">The Systems Engineer role faces intense competition from local telecom giants like Kcell and Kazakhtelecom, offering up to 22% higher compensation.</w:t>
      </w:r>
    </w:p>
    <w:p>
      <w:pPr>
        <w:numPr>
          <w:ilvl w:val="0"/>
          <w:numId w:val="1004"/>
        </w:numPr>
        <w:pStyle w:val="Compact"/>
      </w:pPr>
      <w:r>
        <w:rPr>
          <w:bCs/>
          <w:b/>
        </w:rPr>
        <w:t xml:space="preserve">Infrastructure Variability:</w:t>
      </w:r>
      <w:r>
        <w:t xml:space="preserve"> </w:t>
      </w:r>
      <w:r>
        <w:t xml:space="preserve">Power stability issues in Almaty's industrial zones (14+ outages/month) occasionally disrupt client system deployments.</w:t>
      </w:r>
    </w:p>
    <w:p>
      <w:pPr>
        <w:pStyle w:val="FirstParagraph"/>
      </w:pPr>
      <w:r>
        <w:rPr>
          <w:bCs/>
          <w:b/>
        </w:rPr>
        <w:t xml:space="preserve">Recommendations for Q4 2023:</w:t>
      </w:r>
    </w:p>
    <w:p>
      <w:pPr>
        <w:numPr>
          <w:ilvl w:val="0"/>
          <w:numId w:val="1005"/>
        </w:numPr>
        <w:pStyle w:val="Compact"/>
      </w:pPr>
      <w:r>
        <w:t xml:space="preserve">Implement a localized compensation package with performance bonuses tied to Almaty sales targets (projected ROI: $417K/year)</w:t>
      </w:r>
    </w:p>
    <w:p>
      <w:pPr>
        <w:numPr>
          <w:ilvl w:val="0"/>
          <w:numId w:val="1005"/>
        </w:numPr>
        <w:pStyle w:val="Compact"/>
      </w:pPr>
      <w:r>
        <w:t xml:space="preserve">Develop a dedicated backup power solution for client deployments, partnering with Almaty-based energy provider KAZENERGO</w:t>
      </w:r>
    </w:p>
    <w:p>
      <w:pPr>
        <w:numPr>
          <w:ilvl w:val="0"/>
          <w:numId w:val="1005"/>
        </w:numPr>
        <w:pStyle w:val="Compact"/>
      </w:pPr>
      <w:r>
        <w:t xml:space="preserve">Expand Systems Engineer's scope to include government tender support, targeting the $38M "Smart City" initiative in Almaty</w:t>
      </w:r>
    </w:p>
    <w:bookmarkEnd w:id="27"/>
    <w:bookmarkStart w:id="28" w:name="X4990a82f8ae84dbe5fcc0dcfd7162f67f2abd2b"/>
    <w:p>
      <w:pPr>
        <w:pStyle w:val="Heading2"/>
      </w:pPr>
      <w:r>
        <w:t xml:space="preserve">Conclusion: Systems Engineer as Growth Catalyst</w:t>
      </w:r>
    </w:p>
    <w:p>
      <w:pPr>
        <w:pStyle w:val="FirstParagraph"/>
      </w:pPr>
      <w:r>
        <w:t xml:space="preserve">The data is unequivocal: our Systems Engineer in Kazakhstan Almaty isn't just a support role—they're the catalyst for revenue expansion. As evidenced by the 18% sales growth and 89% technical objection resolution rate, this position has transformed how we sell into Kazakhstan's most competitive market. With Almaty driving 63% of our Central Asian revenue, doubling down on Systems Engineer capability is non-negotiable.</w:t>
      </w:r>
    </w:p>
    <w:p>
      <w:pPr>
        <w:pStyle w:val="BodyText"/>
      </w:pPr>
      <w:r>
        <w:t xml:space="preserve">Looking ahead, the next phase will see our Almaty Systems Engineer spearheading our entry into new verticals like healthcare (via partnership with Almaty's National Medical University) and manufacturing (through collaboration with BTA Bank's industrial lending arm). In a market where technical credibility makes or breaks deals, this role is no longer optional—it's the cornerstone of our Kazakhstani sales strategy.</w:t>
      </w:r>
    </w:p>
    <w:p>
      <w:pPr>
        <w:pStyle w:val="BodyText"/>
      </w:pPr>
      <w:r>
        <w:t xml:space="preserve">"In Kazakhstan Almaty, technical excellence isn't just a requirement—it's the currency of trust." — Systems Engineer Lead, Central Asia Region</w:t>
      </w:r>
    </w:p>
    <w:p>
      <w:r>
        <w:pict>
          <v:rect style="width:0;height:1.5pt" o:hralign="center" o:hrstd="t" o:hr="t"/>
        </w:pict>
      </w:r>
    </w:p>
    <w:p>
      <w:pPr>
        <w:pStyle w:val="FirstParagraph"/>
      </w:pPr>
      <w:r>
        <w:t xml:space="preserve">This Sales Report is confidential and proprietary to [Your Company Name]. Distribution restricted to authorized personnel only.</w:t>
      </w:r>
    </w:p>
    <w:p>
      <w:pPr>
        <w:pStyle w:val="BodyText"/>
      </w:pPr>
      <w:r>
        <w:t xml:space="preserve">Word Count: 847 | Prepared on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Kazakhstan Almaty</dc:title>
  <dc:creator/>
  <dc:language>en</dc:language>
  <cp:keywords/>
  <dcterms:created xsi:type="dcterms:W3CDTF">2025-12-12T06:54:57Z</dcterms:created>
  <dcterms:modified xsi:type="dcterms:W3CDTF">2025-12-12T06:54:57Z</dcterms:modified>
</cp:coreProperties>
</file>

<file path=docProps/custom.xml><?xml version="1.0" encoding="utf-8"?>
<Properties xmlns="http://schemas.openxmlformats.org/officeDocument/2006/custom-properties" xmlns:vt="http://schemas.openxmlformats.org/officeDocument/2006/docPropsVTypes"/>
</file>