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Market</w:t>
      </w:r>
    </w:p>
    <w:bookmarkStart w:id="31" w:name="Xc5fbfc7b717c4b8e178a1206b171379314b0adc"/>
    <w:p>
      <w:pPr>
        <w:pStyle w:val="Heading1"/>
      </w:pPr>
      <w:r>
        <w:t xml:space="preserve">Comprehensive Sales Report: Systems Engineering Excellence in United States San Francisco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Regional Sales Strategy Division, West Coast Operations</w:t>
      </w:r>
    </w:p>
    <w:bookmarkStart w:id="20" w:name="i.-executive-summary"/>
    <w:p>
      <w:pPr>
        <w:pStyle w:val="Heading2"/>
      </w:pPr>
      <w:r>
        <w:t xml:space="preserve">I. Executive Summary</w:t>
      </w:r>
    </w:p>
    <w:p>
      <w:pPr>
        <w:pStyle w:val="FirstParagraph"/>
      </w:pPr>
      <w:r>
        <w:t xml:space="preserve">This comprehensive Sales Report details the performance trajectory of our Systems Engineer services across the United States San Francisco metropolitan market during Q3 2023. The San Francisco ecosystem has emerged as our most dynamic growth corridor, with a 47% year-over-year increase in systems engineering engagements. This report validates that our specialized technical sales approach, tailored to Silicon Valley's unique infrastructure demands, is driving significant revenue expansion while establishing us as the premier Systems Engineer partner for enterprise clients throughout the United States San Francisco corridor.</w:t>
      </w:r>
    </w:p>
    <w:bookmarkEnd w:id="20"/>
    <w:bookmarkStart w:id="21" w:name="X415cb3ce70efcd74f93a068f4b6230662ec971a"/>
    <w:p>
      <w:pPr>
        <w:pStyle w:val="Heading2"/>
      </w:pPr>
      <w:r>
        <w:t xml:space="preserve">II. Market Context: Why United States San Francisco Dominates Systems Engineering Demand</w:t>
      </w:r>
    </w:p>
    <w:p>
      <w:pPr>
        <w:pStyle w:val="FirstParagraph"/>
      </w:pPr>
      <w:r>
        <w:t xml:space="preserve">The United States San Francisco landscape represents a convergence of innovation where cutting-edge technology infrastructure meets complex scaling challenges. As the nerve center for over 40% of Fortune 500 tech companies and a concentration of venture-backed startups, this market demands exceptionally sophisticated Systems Engineer solutions. Unlike generic sales territories, our San Francisco operations confront unique requirements: hyper-scale cloud migrations, AI/ML infrastructure integration, and stringent data sovereignty compliance – all requiring specialized technical sales expertise that transcends traditional software selling.</w:t>
      </w:r>
    </w:p>
    <w:p>
      <w:pPr>
        <w:pStyle w:val="BodyText"/>
      </w:pPr>
      <w:r>
        <w:t xml:space="preserve">Our strategic investment in local Systems Engineer talent has proven critical. The San Francisco-based team (32% of national engineering sales force) demonstrates 2.3x higher deal velocity compared to other regions, directly attributable to their on-the-ground understanding of Bay Area infrastructure constraints and client-specific technical landscapes.</w:t>
      </w:r>
    </w:p>
    <w:bookmarkEnd w:id="21"/>
    <w:bookmarkStart w:id="23" w:name="X660b6b1985274b4a7cf747cf5f3e40527f3447d"/>
    <w:p>
      <w:pPr>
        <w:pStyle w:val="Heading2"/>
      </w:pPr>
      <w:r>
        <w:t xml:space="preserve">III. Key Sales Performance Metrics: United States San Francisco</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Systems Engineering Deals Closed</w:t>
            </w:r>
          </w:p>
        </w:tc>
        <w:tc>
          <w:tcPr/>
          <w:p>
            <w:pPr>
              <w:pStyle w:val="Compact"/>
              <w:jc w:val="left"/>
            </w:pPr>
            <w:r>
              <w:t xml:space="preserve">$8.7M</w:t>
            </w:r>
          </w:p>
        </w:tc>
        <w:tc>
          <w:tcPr/>
          <w:p>
            <w:pPr>
              <w:pStyle w:val="Compact"/>
              <w:jc w:val="left"/>
            </w:pPr>
            <w:r>
              <w:t xml:space="preserve">$5.9M</w:t>
            </w:r>
          </w:p>
        </w:tc>
        <w:tc>
          <w:tcPr/>
          <w:p>
            <w:pPr>
              <w:pStyle w:val="Compact"/>
              <w:jc w:val="left"/>
            </w:pPr>
            <w:r>
              <w:t xml:space="preserve">+47.5%</w:t>
            </w:r>
          </w:p>
        </w:tc>
      </w:tr>
      <w:tr>
        <w:tc>
          <w:tcPr/>
          <w:p>
            <w:pPr>
              <w:pStyle w:val="Compact"/>
              <w:jc w:val="left"/>
            </w:pPr>
            <w:r>
              <w:t xml:space="preserve">Average Deal Size (Systems Engineer Services)</w:t>
            </w:r>
          </w:p>
        </w:tc>
        <w:tc>
          <w:tcPr/>
          <w:p>
            <w:pPr>
              <w:pStyle w:val="Compact"/>
              <w:jc w:val="left"/>
            </w:pPr>
            <w:r>
              <w:t xml:space="preserve">$142,000</w:t>
            </w:r>
          </w:p>
        </w:tc>
        <w:tc>
          <w:tcPr/>
          <w:p>
            <w:pPr>
              <w:pStyle w:val="Compact"/>
              <w:jc w:val="left"/>
            </w:pPr>
            <w:r>
              <w:t xml:space="preserve">$128,500</w:t>
            </w:r>
          </w:p>
        </w:tc>
        <w:tc>
          <w:tcPr/>
          <w:p>
            <w:pPr>
              <w:pStyle w:val="Compact"/>
              <w:jc w:val="left"/>
            </w:pPr>
            <w:r>
              <w:t xml:space="preserve">+10.5%</w:t>
            </w:r>
          </w:p>
        </w:tc>
      </w:tr>
      <w:tr>
        <w:tc>
          <w:tcPr/>
          <w:p>
            <w:pPr>
              <w:pStyle w:val="Compact"/>
              <w:jc w:val="left"/>
            </w:pPr>
            <w:r>
              <w:t xml:space="preserve">Client Acquisition Rate (New Enterprise Clients)</w:t>
            </w:r>
          </w:p>
        </w:tc>
        <w:tc>
          <w:tcPr/>
          <w:p>
            <w:pPr>
              <w:pStyle w:val="Compact"/>
              <w:jc w:val="left"/>
            </w:pPr>
            <w:r>
              <w:t xml:space="preserve">38</w:t>
            </w:r>
          </w:p>
        </w:tc>
        <w:tc>
          <w:tcPr/>
          <w:p>
            <w:pPr>
              <w:pStyle w:val="Compact"/>
              <w:jc w:val="left"/>
            </w:pPr>
            <w:r>
              <w:t xml:space="preserve">26</w:t>
            </w:r>
          </w:p>
        </w:tc>
        <w:tc>
          <w:tcPr/>
          <w:p>
            <w:pPr>
              <w:pStyle w:val="Compact"/>
              <w:jc w:val="left"/>
            </w:pPr>
            <w:r>
              <w:t xml:space="preserve">+46.2%</w:t>
            </w:r>
          </w:p>
        </w:tc>
      </w:tr>
      <w:tr>
        <w:tc>
          <w:tcPr/>
          <w:p>
            <w:pPr>
              <w:pStyle w:val="Compact"/>
              <w:jc w:val="left"/>
            </w:pPr>
            <w:r>
              <w:t xml:space="preserve">Cross-Sell Ratio to Existing Clients</w:t>
            </w:r>
          </w:p>
        </w:tc>
        <w:tc>
          <w:tcPr/>
          <w:p>
            <w:pPr>
              <w:pStyle w:val="Compact"/>
              <w:jc w:val="left"/>
            </w:pPr>
            <w:r>
              <w:t xml:space="preserve">67%</w:t>
            </w:r>
          </w:p>
        </w:tc>
        <w:tc>
          <w:tcPr/>
          <w:p>
            <w:pPr>
              <w:pStyle w:val="Compact"/>
              <w:jc w:val="left"/>
            </w:pPr>
            <w:r>
              <w:t xml:space="preserve">53%</w:t>
            </w:r>
          </w:p>
        </w:tc>
        <w:tc>
          <w:tcPr/>
          <w:p>
            <w:pPr>
              <w:pStyle w:val="Compact"/>
              <w:jc w:val="left"/>
            </w:pPr>
            <w:r>
              <w:t xml:space="preserve">+14pts</w:t>
            </w:r>
          </w:p>
        </w:tc>
      </w:tr>
    </w:tbl>
    <w:bookmarkStart w:id="22" w:name="strategic-insight"/>
    <w:p>
      <w:pPr>
        <w:pStyle w:val="Heading3"/>
      </w:pPr>
      <w:r>
        <w:t xml:space="preserve">Strategic Insight:</w:t>
      </w:r>
    </w:p>
    <w:p>
      <w:pPr>
        <w:pStyle w:val="FirstParagraph"/>
      </w:pPr>
      <w:r>
        <w:t xml:space="preserve">The San Francisco market demonstrates exceptional revenue density. Our Systems Engineer team achieved 28% of total U.S. enterprise systems sales within a region representing only 8% of our national account base – proving the market's disproportionate value. This success stems from our specialized approach: every Sales Report for United States San Francisco includes detailed technical readiness assessments conducted by certified Systems Engineers prior to sales engagement, reducing deployment risks and accelerating client onboarding by 34%.</w:t>
      </w:r>
    </w:p>
    <w:bookmarkEnd w:id="22"/>
    <w:bookmarkEnd w:id="23"/>
    <w:bookmarkStart w:id="26" w:name="Xdb18b87cdb77c7f9da56b895355c21f561abe26"/>
    <w:p>
      <w:pPr>
        <w:pStyle w:val="Heading2"/>
      </w:pPr>
      <w:r>
        <w:t xml:space="preserve">IV. Client Success Stories: Systems Engineer Impact in San Francisco</w:t>
      </w:r>
    </w:p>
    <w:bookmarkStart w:id="24" w:name="X255ddaa2b9756a6729a57cfd6125f1e99a50488"/>
    <w:p>
      <w:pPr>
        <w:pStyle w:val="Heading3"/>
      </w:pPr>
      <w:r>
        <w:t xml:space="preserve">Case Study 1: Healthcare Cloud Transformation (San Francisco-Based Biotech Firm)</w:t>
      </w:r>
    </w:p>
    <w:p>
      <w:pPr>
        <w:pStyle w:val="FirstParagraph"/>
      </w:pPr>
      <w:r>
        <w:t xml:space="preserve">A leading United States San Francisco biotechnology company required a secure, HIPAA-compliant cloud infrastructure for genomic data processing. Our Systems Engineer team designed a multi-region AWS architecture with zero data egress points – directly addressing the client's core security concerns. Result: $2.1M contract, 18-month implementation (30% faster than industry average), and expansion to 3 additional departments within Q4.</w:t>
      </w:r>
    </w:p>
    <w:bookmarkEnd w:id="24"/>
    <w:bookmarkStart w:id="25" w:name="X335aa5862ffa23363d91a59ae7f821f27cdbd0a"/>
    <w:p>
      <w:pPr>
        <w:pStyle w:val="Heading3"/>
      </w:pPr>
      <w:r>
        <w:t xml:space="preserve">Case Study 2: Financial Services Scalability (Silicon Valley Fintech Startup)</w:t>
      </w:r>
    </w:p>
    <w:p>
      <w:pPr>
        <w:pStyle w:val="FirstParagraph"/>
      </w:pPr>
      <w:r>
        <w:t xml:space="preserve">An emerging San Francisco-based fintech company faced catastrophic latency during peak trading hours. Our Systems Engineer team diagnosed microservices misalignment and redesigned their Kubernetes orchestration. Result: 79% reduction in transaction latency, $1.5M service contract, and inclusion as a preferred vendor in the client's annual technology stack review.</w:t>
      </w:r>
    </w:p>
    <w:bookmarkEnd w:id="25"/>
    <w:bookmarkEnd w:id="26"/>
    <w:bookmarkStart w:id="27" w:name="v.-challenges-strategic-opportunities"/>
    <w:p>
      <w:pPr>
        <w:pStyle w:val="Heading2"/>
      </w:pPr>
      <w:r>
        <w:t xml:space="preserve">V. Challenges &amp; Strategic Opportunities</w:t>
      </w:r>
    </w:p>
    <w:p>
      <w:pPr>
        <w:pStyle w:val="FirstParagraph"/>
      </w:pPr>
      <w:r>
        <w:rPr>
          <w:bCs/>
          <w:b/>
        </w:rPr>
        <w:t xml:space="preserve">Challenge 1: Talent Competition in United States San Francisco</w:t>
      </w:r>
      <w:r>
        <w:br/>
      </w:r>
      <w:r>
        <w:t xml:space="preserve">The local market sees intense competition for Systems Engineer talent, with salaries exceeding national averages by 37%. Our solution: Enhanced technical career pathing within the sales-engineering hybrid model – Systems Engineers now earn up to 25% higher commissions on complex infrastructure deals.</w:t>
      </w:r>
    </w:p>
    <w:p>
      <w:pPr>
        <w:pStyle w:val="BodyText"/>
      </w:pPr>
      <w:r>
        <w:rPr>
          <w:bCs/>
          <w:b/>
        </w:rPr>
        <w:t xml:space="preserve">Opportunity 1: AI Infrastructure Boom</w:t>
      </w:r>
      <w:r>
        <w:br/>
      </w:r>
      <w:r>
        <w:t xml:space="preserve">San Francisco-based enterprises are investing $4.7B annually in generative AI infrastructure (Gartner, 2023). We've launched "AI Systems Engineer Accelerator" programs – pre-sales technical workshops for our San Francisco sales team. Initial results show 58% of new AI-related deals now originate from these technical engagements.</w:t>
      </w:r>
    </w:p>
    <w:bookmarkEnd w:id="27"/>
    <w:bookmarkStart w:id="28" w:name="X816f052182669a423ce476ffe118324be74f3a7"/>
    <w:p>
      <w:pPr>
        <w:pStyle w:val="Heading2"/>
      </w:pPr>
      <w:r>
        <w:t xml:space="preserve">VI. Strategic Recommendations for United States San Francisco Expansion</w:t>
      </w:r>
    </w:p>
    <w:p>
      <w:pPr>
        <w:numPr>
          <w:ilvl w:val="0"/>
          <w:numId w:val="1001"/>
        </w:numPr>
        <w:pStyle w:val="Compact"/>
      </w:pPr>
      <w:r>
        <w:rPr>
          <w:bCs/>
          <w:b/>
        </w:rPr>
        <w:t xml:space="preserve">Localized Systems Engineer Certification:</w:t>
      </w:r>
      <w:r>
        <w:t xml:space="preserve"> </w:t>
      </w:r>
      <w:r>
        <w:t xml:space="preserve">Develop a San Francisco-specific certification covering Bay Area infrastructure constraints (e.g., Pacific Gas &amp; Electric grid limitations, local data center availability) – expected to reduce technical discovery time by 40%.</w:t>
      </w:r>
    </w:p>
    <w:p>
      <w:pPr>
        <w:numPr>
          <w:ilvl w:val="0"/>
          <w:numId w:val="1001"/>
        </w:numPr>
        <w:pStyle w:val="Compact"/>
      </w:pPr>
      <w:r>
        <w:rPr>
          <w:bCs/>
          <w:b/>
        </w:rPr>
        <w:t xml:space="preserve">Silicon Valley Technical Advisory Board:</w:t>
      </w:r>
      <w:r>
        <w:t xml:space="preserve"> </w:t>
      </w:r>
      <w:r>
        <w:t xml:space="preserve">Establish quarterly forums with top Systems Engineer clients (including Salesforce, Uber, and Genentech engineering leads) to co-develop solutions addressing emerging pain points unique to United States San Francisco's ecosystem.</w:t>
      </w:r>
    </w:p>
    <w:p>
      <w:pPr>
        <w:numPr>
          <w:ilvl w:val="0"/>
          <w:numId w:val="1001"/>
        </w:numPr>
        <w:pStyle w:val="Compact"/>
      </w:pPr>
      <w:r>
        <w:rPr>
          <w:bCs/>
          <w:b/>
        </w:rPr>
        <w:t xml:space="preserve">Infrastructure-as-a-Service Bundling:</w:t>
      </w:r>
      <w:r>
        <w:t xml:space="preserve"> </w:t>
      </w:r>
      <w:r>
        <w:t xml:space="preserve">Package our core Systems Engineer services with local data center partnerships (e.g., Equinix in Sunnyvale) for seamless implementation – targeting 22% higher conversion rates on complex enterprise deals.</w:t>
      </w:r>
    </w:p>
    <w:bookmarkEnd w:id="28"/>
    <w:bookmarkStart w:id="29" w:name="Xf94884737b5caa06448d7fbce5c23649b1e0cd6"/>
    <w:p>
      <w:pPr>
        <w:pStyle w:val="Heading2"/>
      </w:pPr>
      <w:r>
        <w:t xml:space="preserve">VII. Conclusion: The Future of Systems Engineering Sales in United States San Francisco</w:t>
      </w:r>
    </w:p>
    <w:p>
      <w:pPr>
        <w:pStyle w:val="FirstParagraph"/>
      </w:pPr>
      <w:r>
        <w:t xml:space="preserve">This Sales Report unequivocally demonstrates that the United States San Francisco market is not merely a regional sales territory but the strategic epicenter for next-generation systems engineering solutions. Our investment in specialized Systems Engineer talent and technical sales methodology has created an unassailable competitive advantage: 92% of closed deals originated from technical deep dives conducted by our local Systems Engineer team.</w:t>
      </w:r>
    </w:p>
    <w:p>
      <w:pPr>
        <w:pStyle w:val="BodyText"/>
      </w:pPr>
      <w:r>
        <w:t xml:space="preserve">As infrastructure complexity accelerates with AI, quantum computing, and edge networks, the need for technically fluent sales professionals becomes non-negotiable. The San Francisco market's relentless innovation pace demands that every Sales Report include granular systems engineering metrics – not just revenue figures. We project continued dominance with a 52% CAGR in Systems Engineer services through 2026, making this region our most valuable asset in the U.S. market.</w:t>
      </w:r>
    </w:p>
    <w:p>
      <w:pPr>
        <w:pStyle w:val="BodyText"/>
      </w:pPr>
      <w:r>
        <w:t xml:space="preserve">For executives evaluating national growth strategy: Prioritize doubling down on United States San Francisco operations. Our data proves that Systems Engineer sales excellence here directly translates to measurable revenue acceleration across all U.S. segments – setting a benchmark for how technical expertise should transform sales outcomes nationwide.</w:t>
      </w:r>
    </w:p>
    <w:bookmarkEnd w:id="29"/>
    <w:bookmarkStart w:id="30" w:name="viii.-appendices-available-upon-request"/>
    <w:p>
      <w:pPr>
        <w:pStyle w:val="Heading2"/>
      </w:pPr>
      <w:r>
        <w:t xml:space="preserve">VIII. Appendices (Available Upon Request)</w:t>
      </w:r>
    </w:p>
    <w:p>
      <w:pPr>
        <w:numPr>
          <w:ilvl w:val="0"/>
          <w:numId w:val="1002"/>
        </w:numPr>
        <w:pStyle w:val="Compact"/>
      </w:pPr>
      <w:r>
        <w:t xml:space="preserve">Appendix A: Full San Francisco Market Competitor Analysis</w:t>
      </w:r>
    </w:p>
    <w:p>
      <w:pPr>
        <w:numPr>
          <w:ilvl w:val="0"/>
          <w:numId w:val="1002"/>
        </w:numPr>
        <w:pStyle w:val="Compact"/>
      </w:pPr>
      <w:r>
        <w:t xml:space="preserve">Appendix B: Systems Engineer Technical Readiness Scorecard Framework</w:t>
      </w:r>
    </w:p>
    <w:p>
      <w:pPr>
        <w:numPr>
          <w:ilvl w:val="0"/>
          <w:numId w:val="1002"/>
        </w:numPr>
        <w:pStyle w:val="Compact"/>
      </w:pPr>
      <w:r>
        <w:t xml:space="preserve">Appendix C: Q3 2023 Client Satisfaction Survey (Systems Engineering Services)</w:t>
      </w:r>
    </w:p>
    <w:p>
      <w:pPr>
        <w:pStyle w:val="FirstParagraph"/>
      </w:pPr>
      <w:r>
        <w:rPr>
          <w:iCs/>
          <w:i/>
        </w:rPr>
        <w:t xml:space="preserve">This Sales Report complies with all U.S. data privacy regulations and includes confidential client information de-identified per GDPR/CCPA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Sales Performance Report: United States San Francisco Market</dc:title>
  <dc:creator/>
  <dc:language>en</dc:language>
  <cp:keywords/>
  <dcterms:created xsi:type="dcterms:W3CDTF">2026-07-23T11:33:24Z</dcterms:created>
  <dcterms:modified xsi:type="dcterms:W3CDTF">2026-07-23T11:33:24Z</dcterms:modified>
</cp:coreProperties>
</file>

<file path=docProps/custom.xml><?xml version="1.0" encoding="utf-8"?>
<Properties xmlns="http://schemas.openxmlformats.org/officeDocument/2006/custom-properties" xmlns:vt="http://schemas.openxmlformats.org/officeDocument/2006/docPropsVTypes"/>
</file>