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7" w:name="X7b266fcb70ceedd40949ab62cde81d90db4348d"/>
    <w:p>
      <w:pPr>
        <w:pStyle w:val="Heading1"/>
      </w:pPr>
      <w:r>
        <w:t xml:space="preserve">Sales Report: Systems Engineer Services Performance Analysis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Prepared By:</w:t>
      </w:r>
      <w:r>
        <w:t xml:space="preserve"> </w:t>
      </w:r>
      <w:r>
        <w:t xml:space="preserve">Regional Sales Operations Department</w:t>
      </w:r>
      <w:r>
        <w:br/>
      </w:r>
      <w:r>
        <w:rPr>
          <w:bCs/>
          <w:b/>
        </w:rPr>
        <w:t xml:space="preserve">Region:</w:t>
      </w:r>
      <w:r>
        <w:t xml:space="preserve"> </w:t>
      </w:r>
      <w:r>
        <w:t xml:space="preserve">Uzbekistan Tashkent</w:t>
      </w:r>
    </w:p>
    <w:bookmarkStart w:id="20" w:name="i.-executive-summary"/>
    <w:p>
      <w:pPr>
        <w:pStyle w:val="Heading2"/>
      </w:pPr>
      <w:r>
        <w:t xml:space="preserve">I. Executive Summary</w:t>
      </w:r>
    </w:p>
    <w:p>
      <w:pPr>
        <w:pStyle w:val="FirstParagraph"/>
      </w:pPr>
      <w:r>
        <w:t xml:space="preserve">This comprehensive Sales Report evaluates the performance of Systems Engineer services across Uzbekistan's capital city, Tashkent, during Q3 2023. The report demonstrates a 18% year-over-year growth in systems engineering solutions sales, driven by strategic partnerships with key telecommunications and government entities. As Uzbekistan accelerates its digital transformation agenda under the</w:t>
      </w:r>
      <w:r>
        <w:t xml:space="preserve"> </w:t>
      </w:r>
      <w:r>
        <w:rPr>
          <w:iCs/>
          <w:i/>
        </w:rPr>
        <w:t xml:space="preserve">Strategy for Development of Digital Economy until 2030</w:t>
      </w:r>
      <w:r>
        <w:t xml:space="preserve">, Tashkent has emerged as the critical hub for technology adoption. The Systems Engineer team delivered exceptional results in complex infrastructure projects, cementing our market leadership position. This report details revenue streams, client acquisition metrics, and strategic recommendations to capitalize on Tashkent's booming tech ecosystem.</w:t>
      </w:r>
    </w:p>
    <w:bookmarkEnd w:id="20"/>
    <w:bookmarkStart w:id="21" w:name="X41ce70b87553c38bb037b07d48b72dbe2a8e81f"/>
    <w:p>
      <w:pPr>
        <w:pStyle w:val="Heading2"/>
      </w:pPr>
      <w:r>
        <w:t xml:space="preserve">II. Market Context: Uzbekistan Tashkent's Technology Landscape</w:t>
      </w:r>
    </w:p>
    <w:p>
      <w:pPr>
        <w:pStyle w:val="FirstParagraph"/>
      </w:pPr>
      <w:r>
        <w:t xml:space="preserve">Tashkent represents 35% of Uzbekistan's total IT market value, with a projected CAGR of 19.7% through 2025 (Source: Uzbek Ministry of Digital Development). The city hosts over 600 technology firms and serves as the nerve center for national digital initiatives like</w:t>
      </w:r>
      <w:r>
        <w:t xml:space="preserve"> </w:t>
      </w:r>
      <w:r>
        <w:rPr>
          <w:iCs/>
          <w:i/>
        </w:rPr>
        <w:t xml:space="preserve">Digital Tashkent</w:t>
      </w:r>
      <w:r>
        <w:t xml:space="preserve"> </w:t>
      </w:r>
      <w:r>
        <w:t xml:space="preserve">and</w:t>
      </w:r>
      <w:r>
        <w:t xml:space="preserve"> </w:t>
      </w:r>
      <w:r>
        <w:rPr>
          <w:iCs/>
          <w:i/>
        </w:rPr>
        <w:t xml:space="preserve">Smart City Tashkent</w:t>
      </w:r>
      <w:r>
        <w:t xml:space="preserve">. Our Systems Engineer team has strategically aligned service offerings with these national priorities, particularly in network infrastructure modernization, cloud migration, and cybersecurity. Notably, the government's recent $2.3 billion investment in fiber-optic expansion created unprecedented demand for qualified Systems Engineers capable of deploying enterprise-grade solutions across Tashkent's urban corridors.</w:t>
      </w:r>
    </w:p>
    <w:bookmarkEnd w:id="21"/>
    <w:bookmarkStart w:id="22" w:name="iii.-sales-performance-breakdown-q3-2023"/>
    <w:p>
      <w:pPr>
        <w:pStyle w:val="Heading2"/>
      </w:pPr>
      <w:r>
        <w:t xml:space="preserve">III. Sales Performance Breakdown (Q3 2023)</w:t>
      </w:r>
    </w:p>
    <w:p>
      <w:pPr>
        <w:pStyle w:val="FirstParagraph"/>
      </w:pPr>
      <w:r>
        <w:t xml:space="preserve">Service Category</w:t>
      </w:r>
    </w:p>
    <w:p>
      <w:pPr>
        <w:pStyle w:val="BodyText"/>
      </w:pPr>
      <w:r>
        <w:t xml:space="preserve">Revenue (USD)</w:t>
      </w:r>
    </w:p>
    <w:p>
      <w:pPr>
        <w:pStyle w:val="BodyText"/>
      </w:pPr>
      <w:r>
        <w:t xml:space="preserve">YoY Growth</w:t>
      </w:r>
    </w:p>
    <w:p>
      <w:pPr>
        <w:pStyle w:val="BodyText"/>
      </w:pPr>
      <w:r>
        <w:t xml:space="preserve">Key Clients in Tashkent</w:t>
      </w:r>
    </w:p>
    <w:p>
      <w:pPr>
        <w:pStyle w:val="BodyText"/>
      </w:pPr>
      <w:r>
        <w:t xml:space="preserve">Network Infrastructure Solutions</w:t>
      </w:r>
    </w:p>
    <w:p>
      <w:pPr>
        <w:pStyle w:val="BodyText"/>
      </w:pPr>
      <w:r>
        <w:t xml:space="preserve">$428,500</w:t>
      </w:r>
    </w:p>
    <w:p>
      <w:pPr>
        <w:pStyle w:val="BodyText"/>
      </w:pPr>
      <w:r>
        <w:t xml:space="preserve">24%</w:t>
      </w:r>
    </w:p>
    <w:p>
      <w:pPr>
        <w:pStyle w:val="BodyText"/>
      </w:pPr>
      <w:r>
        <w:t xml:space="preserve">Tashkent Telecom, Uzbektelecom HQ</w:t>
      </w:r>
    </w:p>
    <w:p>
      <w:pPr>
        <w:pStyle w:val="BodyText"/>
      </w:pPr>
      <w:r>
        <w:t xml:space="preserve">Cybersecurity Frameworks</w:t>
      </w:r>
    </w:p>
    <w:p>
      <w:pPr>
        <w:pStyle w:val="BodyText"/>
      </w:pPr>
      <w:r>
        <w:t xml:space="preserve">$317,200</w:t>
      </w:r>
    </w:p>
    <w:p>
      <w:pPr>
        <w:pStyle w:val="BodyText"/>
      </w:pPr>
      <w:r>
        <w:t xml:space="preserve">31%</w:t>
      </w:r>
    </w:p>
    <w:p>
      <w:pPr>
        <w:pStyle w:val="BodyText"/>
      </w:pPr>
      <w:r>
        <w:t xml:space="preserve">National Security Agency, Tashkent Bank Group</w:t>
      </w:r>
    </w:p>
    <w:p>
      <w:pPr>
        <w:pStyle w:val="BodyText"/>
      </w:pPr>
      <w:r>
        <w:t xml:space="preserve">Cloud Migration Services</w:t>
      </w:r>
    </w:p>
    <w:p>
      <w:pPr>
        <w:pStyle w:val="BodyText"/>
      </w:pPr>
      <w:r>
        <w:t xml:space="preserve">$286,900</w:t>
      </w:r>
    </w:p>
    <w:p>
      <w:pPr>
        <w:pStyle w:val="BodyText"/>
      </w:pPr>
      <w:r>
        <w:t xml:space="preserve">15%</w:t>
      </w:r>
    </w:p>
    <w:p>
      <w:pPr>
        <w:pStyle w:val="BodyText"/>
      </w:pPr>
      <w:r>
        <w:t xml:space="preserve">Tashkent International Airport, State University of Uzbekistan</w:t>
      </w:r>
    </w:p>
    <w:p>
      <w:pPr>
        <w:pStyle w:val="BodyText"/>
      </w:pPr>
      <w:r>
        <w:t xml:space="preserve">IOT Platform Development</w:t>
      </w:r>
    </w:p>
    <w:p>
      <w:pPr>
        <w:pStyle w:val="BodyText"/>
      </w:pPr>
      <w:r>
        <w:t xml:space="preserve">$198,300</w:t>
      </w:r>
    </w:p>
    <w:p>
      <w:pPr>
        <w:pStyle w:val="BodyText"/>
      </w:pPr>
      <w:r>
        <w:t xml:space="preserve">42%</w:t>
      </w:r>
    </w:p>
    <w:p>
      <w:pPr>
        <w:pStyle w:val="BodyText"/>
      </w:pPr>
      <w:r>
        <w:t xml:space="preserve">Metro Tashkent, City Utilities Department</w:t>
      </w:r>
    </w:p>
    <w:p>
      <w:pPr>
        <w:pStyle w:val="BodyText"/>
      </w:pPr>
      <w:r>
        <w:t xml:space="preserve">Key highlights include:</w:t>
      </w:r>
    </w:p>
    <w:p>
      <w:pPr>
        <w:numPr>
          <w:ilvl w:val="0"/>
          <w:numId w:val="1001"/>
        </w:numPr>
        <w:pStyle w:val="Compact"/>
      </w:pPr>
      <w:r>
        <w:t xml:space="preserve">Awarded the prestigious $1.2M contract with Tashkent Metro for AI-powered infrastructure monitoring system – delivered 3 weeks ahead of schedule by our Systems Engineer team</w:t>
      </w:r>
    </w:p>
    <w:p>
      <w:pPr>
        <w:numPr>
          <w:ilvl w:val="0"/>
          <w:numId w:val="1001"/>
        </w:numPr>
        <w:pStyle w:val="Compact"/>
      </w:pPr>
      <w:r>
        <w:t xml:space="preserve">Secured repeat business from Uzbektelecom for network expansion across 12 Tashkent districts, representing a 37% increase in annual contract value</w:t>
      </w:r>
    </w:p>
    <w:p>
      <w:pPr>
        <w:numPr>
          <w:ilvl w:val="0"/>
          <w:numId w:val="1001"/>
        </w:numPr>
        <w:pStyle w:val="Compact"/>
      </w:pPr>
      <w:r>
        <w:t xml:space="preserve">Launched localized service packages addressing Uzbekistan's unique regulatory requirements (e.g., data localization laws), increasing close rates by 28%</w:t>
      </w:r>
    </w:p>
    <w:bookmarkEnd w:id="22"/>
    <w:bookmarkStart w:id="23" w:name="Xf437a21b7d7bce295bd0d75f4166585f1cb8ae7"/>
    <w:p>
      <w:pPr>
        <w:pStyle w:val="Heading2"/>
      </w:pPr>
      <w:r>
        <w:t xml:space="preserve">IV. Systems Engineer Team Performance Metrics</w:t>
      </w:r>
    </w:p>
    <w:p>
      <w:pPr>
        <w:pStyle w:val="FirstParagraph"/>
      </w:pPr>
      <w:r>
        <w:t xml:space="preserve">The Tashkent-based Systems Engineer unit comprises 17 certified specialists with expertise in Cisco, AWS, and cybersecurity frameworks. Their performance directly correlates with sales outcomes:</w:t>
      </w:r>
    </w:p>
    <w:p>
      <w:pPr>
        <w:numPr>
          <w:ilvl w:val="0"/>
          <w:numId w:val="1002"/>
        </w:numPr>
        <w:pStyle w:val="Compact"/>
      </w:pPr>
      <w:r>
        <w:rPr>
          <w:bCs/>
          <w:b/>
        </w:rPr>
        <w:t xml:space="preserve">Project Delivery Rate:</w:t>
      </w:r>
      <w:r>
        <w:t xml:space="preserve"> </w:t>
      </w:r>
      <w:r>
        <w:t xml:space="preserve">98% on-time completion (vs industry avg. 85%) – critical for maintaining client trust in Tashkent's competitive market</w:t>
      </w:r>
    </w:p>
    <w:p>
      <w:pPr>
        <w:numPr>
          <w:ilvl w:val="0"/>
          <w:numId w:val="1002"/>
        </w:numPr>
        <w:pStyle w:val="Compact"/>
      </w:pPr>
      <w:r>
        <w:rPr>
          <w:bCs/>
          <w:b/>
        </w:rPr>
        <w:t xml:space="preserve">Client Retention:</w:t>
      </w:r>
      <w:r>
        <w:t xml:space="preserve"> </w:t>
      </w:r>
      <w:r>
        <w:t xml:space="preserve">94% renewal rate among enterprise accounts, significantly outperforming regional competitors at 76%</w:t>
      </w:r>
    </w:p>
    <w:p>
      <w:pPr>
        <w:numPr>
          <w:ilvl w:val="0"/>
          <w:numId w:val="1002"/>
        </w:numPr>
        <w:pStyle w:val="Compact"/>
      </w:pPr>
      <w:r>
        <w:rPr>
          <w:bCs/>
          <w:b/>
        </w:rPr>
        <w:t xml:space="preserve">Solution Customization:</w:t>
      </w:r>
      <w:r>
        <w:t xml:space="preserve"> </w:t>
      </w:r>
      <w:r>
        <w:t xml:space="preserve">83% of sales involved bespoke solutions developed by Systems Engineers, driving higher average deal values ($52k vs $38k industry avg)</w:t>
      </w:r>
    </w:p>
    <w:p>
      <w:pPr>
        <w:numPr>
          <w:ilvl w:val="0"/>
          <w:numId w:val="1002"/>
        </w:numPr>
        <w:pStyle w:val="Compact"/>
      </w:pPr>
      <w:r>
        <w:rPr>
          <w:bCs/>
          <w:b/>
        </w:rPr>
        <w:t xml:space="preserve">Local Partnership Integration:</w:t>
      </w:r>
      <w:r>
        <w:t xml:space="preserve"> </w:t>
      </w:r>
      <w:r>
        <w:t xml:space="preserve">Successfully embedded Systems Engineers within 7 key Uzbek partners (including Tashkent IT University), generating 41% of new leads</w:t>
      </w:r>
    </w:p>
    <w:bookmarkEnd w:id="23"/>
    <w:bookmarkStart w:id="24" w:name="X7f14cdf52ab3f814a8119f4b5c0a43194d12ce9"/>
    <w:p>
      <w:pPr>
        <w:pStyle w:val="Heading2"/>
      </w:pPr>
      <w:r>
        <w:t xml:space="preserve">V. Market Challenges &amp; Strategic Adaptations</w:t>
      </w:r>
    </w:p>
    <w:p>
      <w:pPr>
        <w:pStyle w:val="FirstParagraph"/>
      </w:pPr>
      <w:r>
        <w:t xml:space="preserve">Tashkent's dynamic market presents unique challenges requiring specialized Systems Engineer approaches:</w:t>
      </w:r>
    </w:p>
    <w:p>
      <w:pPr>
        <w:pStyle w:val="BodyText"/>
      </w:pPr>
      <w:r>
        <w:rPr>
          <w:iCs/>
          <w:i/>
        </w:rPr>
        <w:t xml:space="preserve">Challenge 1: Regulatory Complexity</w:t>
      </w:r>
      <w:r>
        <w:br/>
      </w:r>
      <w:r>
        <w:t xml:space="preserve">Uzbekistan's evolving data sovereignty laws require tailored system architectures. Our Tashkent Systems Engineers developed a certified compliance module that became a differentiator, enabling us to secure contracts with government entities previously inaccessible.</w:t>
      </w:r>
    </w:p>
    <w:p>
      <w:pPr>
        <w:pStyle w:val="BodyText"/>
      </w:pPr>
      <w:r>
        <w:rPr>
          <w:iCs/>
          <w:i/>
        </w:rPr>
        <w:t xml:space="preserve">Challenge 2: Talent Acquisition in Growing Market</w:t>
      </w:r>
      <w:r>
        <w:br/>
      </w:r>
      <w:r>
        <w:t xml:space="preserve">With 45% of local IT graduates entering the Tashkent job market annually, we implemented our "Systems Engineer Accelerator Program" with Tashkent State Technical University. This initiative increased qualified local hires by 63% while reducing onboarding time by 50 days.</w:t>
      </w:r>
    </w:p>
    <w:p>
      <w:pPr>
        <w:pStyle w:val="BodyText"/>
      </w:pPr>
      <w:r>
        <w:rPr>
          <w:iCs/>
          <w:i/>
        </w:rPr>
        <w:t xml:space="preserve">Challenge 3: Infrastructure Modernization Pace</w:t>
      </w:r>
      <w:r>
        <w:br/>
      </w:r>
      <w:r>
        <w:t xml:space="preserve">The city's rapid urban development demands agile engineering solutions. Our Systems Engineers deployed a mobile project management app with real-time site analytics, enabling Tashkent teams to adapt designs during construction – reducing change orders by 29%.</w:t>
      </w:r>
    </w:p>
    <w:bookmarkEnd w:id="24"/>
    <w:bookmarkStart w:id="25" w:name="X6e031b4e09b35aa2dc2c3dd6e5a1bdbad6434fe"/>
    <w:p>
      <w:pPr>
        <w:pStyle w:val="Heading2"/>
      </w:pPr>
      <w:r>
        <w:t xml:space="preserve">VI. Future Outlook &amp; Strategic Recommendations</w:t>
      </w:r>
    </w:p>
    <w:p>
      <w:pPr>
        <w:pStyle w:val="FirstParagraph"/>
      </w:pPr>
      <w:r>
        <w:t xml:space="preserve">Tashkent's projected $1.8 billion digital infrastructure investment through 2025 creates substantial opportunity. Based on our Sales Report analysis, we recommend:</w:t>
      </w:r>
    </w:p>
    <w:p>
      <w:pPr>
        <w:numPr>
          <w:ilvl w:val="0"/>
          <w:numId w:val="1003"/>
        </w:numPr>
        <w:pStyle w:val="Compact"/>
      </w:pPr>
      <w:r>
        <w:rPr>
          <w:bCs/>
          <w:b/>
        </w:rPr>
        <w:t xml:space="preserve">Double Down on Smart City Solutions:</w:t>
      </w:r>
      <w:r>
        <w:t xml:space="preserve"> </w:t>
      </w:r>
      <w:r>
        <w:t xml:space="preserve">Allocate 30% of R&amp;D budget to IoT systems for Tashkent's traffic management and utilities – aligning with the city's $450M Smart City Fund</w:t>
      </w:r>
    </w:p>
    <w:p>
      <w:pPr>
        <w:numPr>
          <w:ilvl w:val="0"/>
          <w:numId w:val="1003"/>
        </w:numPr>
        <w:pStyle w:val="Compact"/>
      </w:pPr>
      <w:r>
        <w:rPr>
          <w:bCs/>
          <w:b/>
        </w:rPr>
        <w:t xml:space="preserve">Launch Uzbek Language Support:</w:t>
      </w:r>
      <w:r>
        <w:t xml:space="preserve"> </w:t>
      </w:r>
      <w:r>
        <w:t xml:space="preserve">Develop Systems Engineer documentation in Uzbek (beyond Russian/English) to capture SME market – estimated 22,000 potential new clients in Tashkent</w:t>
      </w:r>
    </w:p>
    <w:p>
      <w:pPr>
        <w:numPr>
          <w:ilvl w:val="0"/>
          <w:numId w:val="1003"/>
        </w:numPr>
        <w:pStyle w:val="Compact"/>
      </w:pPr>
      <w:r>
        <w:rPr>
          <w:bCs/>
          <w:b/>
        </w:rPr>
        <w:t xml:space="preserve">Create Regional Systems Engineering Hub:</w:t>
      </w:r>
      <w:r>
        <w:t xml:space="preserve"> </w:t>
      </w:r>
      <w:r>
        <w:t xml:space="preserve">Establish a dedicated Tashkent center for training Central Asian engineers, positioning us as the regional Systems Engineer authority</w:t>
      </w:r>
    </w:p>
    <w:p>
      <w:pPr>
        <w:numPr>
          <w:ilvl w:val="0"/>
          <w:numId w:val="1003"/>
        </w:numPr>
        <w:pStyle w:val="Compact"/>
      </w:pPr>
      <w:r>
        <w:rPr>
          <w:bCs/>
          <w:b/>
        </w:rPr>
        <w:t xml:space="preserve">Implement Predictive Sales Analytics:</w:t>
      </w:r>
      <w:r>
        <w:t xml:space="preserve"> </w:t>
      </w:r>
      <w:r>
        <w:t xml:space="preserve">Integrate AI tools to forecast Tashkent's infrastructure projects based on government procurement data – projected 25% sales acceleration</w:t>
      </w:r>
    </w:p>
    <w:bookmarkEnd w:id="25"/>
    <w:bookmarkStart w:id="26" w:name="vii.-conclusion"/>
    <w:p>
      <w:pPr>
        <w:pStyle w:val="Heading2"/>
      </w:pPr>
      <w:r>
        <w:t xml:space="preserve">VII. Conclusion</w:t>
      </w:r>
    </w:p>
    <w:p>
      <w:pPr>
        <w:pStyle w:val="FirstParagraph"/>
      </w:pPr>
      <w:r>
        <w:t xml:space="preserve">This Sales Report confirms that Uzbekistan Tashkent is not merely a market segment but the strategic epicenter for our systems engineering growth in Central Asia. The exceptional performance of our Systems Engineer team – characterized by technical excellence, regulatory navigation, and cultural adaptation – has directly fueled 18% revenue growth while strengthening our competitive moat. As Tashkent continues its transformation into a digital hub of the Silk Road corridor, the demand for specialized Systems Engineers will only intensify. Our strategic investments in local talent development and market-specific solution design position us to capture 35%+ market share in Uzbekistan's systems engineering segment by 2025. We strongly recommend executive approval for the proposed initiatives to maintain our leadership trajectory within Tashkent's rapidly evolving technology landscape.</w:t>
      </w:r>
    </w:p>
    <w:p>
      <w:pPr>
        <w:pStyle w:val="BodyText"/>
      </w:pPr>
      <w:r>
        <w:rPr>
          <w:iCs/>
          <w:i/>
        </w:rPr>
        <w:t xml:space="preserve">Prepared with data from:</w:t>
      </w:r>
      <w:r>
        <w:br/>
      </w:r>
      <w:r>
        <w:t xml:space="preserve">Uzbekistan Ministry of Digital Development, Tashkent City Administration Infrastructure Reports, Company Sales Database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Services in Uzbekistan Tashkent</dc:title>
  <dc:creator/>
  <dc:language>en</dc:language>
  <cp:keywords/>
  <dcterms:created xsi:type="dcterms:W3CDTF">2026-07-21T13:40:06Z</dcterms:created>
  <dcterms:modified xsi:type="dcterms:W3CDTF">2026-07-21T13:40:06Z</dcterms:modified>
</cp:coreProperties>
</file>

<file path=docProps/custom.xml><?xml version="1.0" encoding="utf-8"?>
<Properties xmlns="http://schemas.openxmlformats.org/officeDocument/2006/custom-properties" xmlns:vt="http://schemas.openxmlformats.org/officeDocument/2006/docPropsVTypes"/>
</file>