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7" w:name="Xde5baeb792ef721cc9e35b33cc8736aaa17dc06"/>
    <w:p>
      <w:pPr>
        <w:pStyle w:val="Heading1"/>
      </w:pPr>
      <w:r>
        <w:t xml:space="preserve">Comprehensive Sales Report: Tailor Services in Germany Frankfurt Q3 2023</w:t>
      </w:r>
    </w:p>
    <w:p>
      <w:pPr>
        <w:pStyle w:val="FirstParagraph"/>
      </w:pPr>
      <w:r>
        <w:rPr>
          <w:bCs/>
          <w:b/>
        </w:rPr>
        <w:t xml:space="preserve">Prepared For:</w:t>
      </w:r>
      <w:r>
        <w:t xml:space="preserve"> </w:t>
      </w:r>
      <w:r>
        <w:t xml:space="preserve">Management Board, Global Tailoring Solutions GmbH</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Germany Frankfurt Metropolitan Region</w:t>
      </w:r>
    </w:p>
    <w:bookmarkStart w:id="20" w:name="i.-executive-summary"/>
    <w:p>
      <w:pPr>
        <w:pStyle w:val="Heading2"/>
      </w:pPr>
      <w:r>
        <w:t xml:space="preserve">I. Executive Summary</w:t>
      </w:r>
    </w:p>
    <w:p>
      <w:pPr>
        <w:pStyle w:val="FirstParagraph"/>
      </w:pPr>
      <w:r>
        <w:t xml:space="preserve">This Sales Report presents a detailed analysis of bespoke tailor services performance within the Germany Frankfurt market during Q3 2023. The report confirms that our tailored suit and formal wear division achieved remarkable growth, with a 37% year-over-year increase in sales revenue specifically within the Frankfurt business district. This success is attributed to strategic positioning at key corporate hubs and exceptional customer service adapted to German business culture. Germany Frankfurt remains our highest-performing metropolitan center for premium tailor services, demonstrating consistent demand for precision craftsmanship among financial institutions, legal firms, and luxury retail sectors.</w:t>
      </w:r>
    </w:p>
    <w:bookmarkEnd w:id="20"/>
    <w:bookmarkStart w:id="21" w:name="X542bcd65d43afb38ea1dc258700cc8113b3e042"/>
    <w:p>
      <w:pPr>
        <w:pStyle w:val="Heading2"/>
      </w:pPr>
      <w:r>
        <w:t xml:space="preserve">II. Market Analysis: Tailor Services in Germany Frankfurt</w:t>
      </w:r>
    </w:p>
    <w:p>
      <w:pPr>
        <w:pStyle w:val="FirstParagraph"/>
      </w:pPr>
      <w:r>
        <w:t xml:space="preserve">Frankfurt's status as Europe's financial capital creates an unparalleled environment for high-end tailor services. The Germany Frankfurt market features unique characteristics requiring specialized sales approaches:</w:t>
      </w:r>
    </w:p>
    <w:p>
      <w:pPr>
        <w:numPr>
          <w:ilvl w:val="0"/>
          <w:numId w:val="1001"/>
        </w:numPr>
        <w:pStyle w:val="Compact"/>
      </w:pPr>
      <w:r>
        <w:rPr>
          <w:bCs/>
          <w:b/>
        </w:rPr>
        <w:t xml:space="preserve">Corporate Demand:</w:t>
      </w:r>
      <w:r>
        <w:t xml:space="preserve"> </w:t>
      </w:r>
      <w:r>
        <w:t xml:space="preserve">68% of our clientele consists of professionals from Deutsche Bank, DAX companies, and M&amp;A firms headquartered in Frankfurt. These clients prioritize impeccable fit for boardroom presentations and international client meetings.</w:t>
      </w:r>
    </w:p>
    <w:p>
      <w:pPr>
        <w:numPr>
          <w:ilvl w:val="0"/>
          <w:numId w:val="1001"/>
        </w:numPr>
        <w:pStyle w:val="Compact"/>
      </w:pPr>
      <w:r>
        <w:rPr>
          <w:bCs/>
          <w:b/>
        </w:rPr>
        <w:t xml:space="preserve">Cultural Preferences:</w:t>
      </w:r>
      <w:r>
        <w:t xml:space="preserve"> </w:t>
      </w:r>
      <w:r>
        <w:t xml:space="preserve">German business culture emphasizes precision, punctuality, and quality over flashiness. Our tailor service model aligns perfectly with this ethos through strict measurement protocols and 48-hour consultation turnaround.</w:t>
      </w:r>
    </w:p>
    <w:p>
      <w:pPr>
        <w:numPr>
          <w:ilvl w:val="0"/>
          <w:numId w:val="1001"/>
        </w:numPr>
        <w:pStyle w:val="Compact"/>
      </w:pPr>
      <w:r>
        <w:rPr>
          <w:bCs/>
          <w:b/>
        </w:rPr>
        <w:t xml:space="preserve">Competitive Landscape:</w:t>
      </w:r>
      <w:r>
        <w:t xml:space="preserve"> </w:t>
      </w:r>
      <w:r>
        <w:t xml:space="preserve">While traditional Frankfurt tailors exist (e.g., Schuylers &amp; Co.), our data shows clients increasingly choose modern bespoke services that integrate digital consultations with physical fittings – a capability we've mastered in Germany Frankfurt operations.</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of Total Germany Frankfurt Sales</w:t>
            </w:r>
          </w:p>
        </w:tc>
        <w:tc>
          <w:tcPr/>
          <w:p>
            <w:pPr>
              <w:pStyle w:val="Compact"/>
              <w:jc w:val="left"/>
            </w:pPr>
            <w:r>
              <w:t xml:space="preserve">YoY Growth</w:t>
            </w:r>
          </w:p>
        </w:tc>
      </w:tr>
      <w:tr>
        <w:tc>
          <w:tcPr/>
          <w:p>
            <w:pPr>
              <w:pStyle w:val="Compact"/>
              <w:jc w:val="left"/>
            </w:pPr>
            <w:r>
              <w:t xml:space="preserve">Bespoke Suits (Business)</w:t>
            </w:r>
          </w:p>
        </w:tc>
        <w:tc>
          <w:tcPr/>
          <w:p>
            <w:pPr>
              <w:pStyle w:val="Compact"/>
              <w:jc w:val="left"/>
            </w:pPr>
            <w:r>
              <w:t xml:space="preserve">187,500</w:t>
            </w:r>
          </w:p>
        </w:tc>
        <w:tc>
          <w:tcPr/>
          <w:p>
            <w:pPr>
              <w:pStyle w:val="Compact"/>
              <w:jc w:val="left"/>
            </w:pPr>
            <w:r>
              <w:t xml:space="preserve">52.3%</w:t>
            </w:r>
          </w:p>
        </w:tc>
        <w:tc>
          <w:tcPr/>
          <w:p>
            <w:pPr>
              <w:pStyle w:val="Compact"/>
              <w:jc w:val="left"/>
            </w:pPr>
            <w:r>
              <w:t xml:space="preserve">+41.2%</w:t>
            </w:r>
          </w:p>
        </w:tc>
      </w:tr>
      <w:tr>
        <w:tc>
          <w:tcPr/>
          <w:p>
            <w:pPr>
              <w:pStyle w:val="Compact"/>
              <w:jc w:val="left"/>
            </w:pPr>
            <w:r>
              <w:t xml:space="preserve">Cocktail/Formal Wear</w:t>
            </w:r>
          </w:p>
        </w:tc>
        <w:tc>
          <w:tcPr/>
          <w:p>
            <w:pPr>
              <w:pStyle w:val="Compact"/>
              <w:jc w:val="left"/>
            </w:pPr>
            <w:r>
              <w:t xml:space="preserve">68,900</w:t>
            </w:r>
          </w:p>
        </w:tc>
        <w:tc>
          <w:tcPr/>
          <w:p>
            <w:pPr>
              <w:pStyle w:val="Compact"/>
              <w:jc w:val="left"/>
            </w:pPr>
            <w:r>
              <w:t xml:space="preserve">19.3%</w:t>
            </w:r>
          </w:p>
        </w:tc>
        <w:tc>
          <w:tcPr/>
          <w:p>
            <w:pPr>
              <w:pStyle w:val="Compact"/>
              <w:jc w:val="left"/>
            </w:pPr>
            <w:r>
              <w:t xml:space="preserve">+28.7%</w:t>
            </w:r>
          </w:p>
        </w:tc>
      </w:tr>
      <w:tr>
        <w:tc>
          <w:tcPr/>
          <w:p>
            <w:pPr>
              <w:pStyle w:val="Compact"/>
              <w:jc w:val="left"/>
            </w:pPr>
            <w:r>
              <w:t xml:space="preserve">Bespoke Corporate Uniforms</w:t>
            </w:r>
          </w:p>
        </w:tc>
        <w:tc>
          <w:tcPr/>
          <w:p>
            <w:pPr>
              <w:pStyle w:val="Compact"/>
              <w:jc w:val="left"/>
            </w:pPr>
            <w:r>
              <w:t xml:space="preserve">42,100</w:t>
            </w:r>
          </w:p>
        </w:tc>
        <w:tc>
          <w:tcPr/>
          <w:p>
            <w:pPr>
              <w:pStyle w:val="Compact"/>
              <w:jc w:val="left"/>
            </w:pPr>
            <w:r>
              <w:t xml:space="preserve">11.8%</w:t>
            </w:r>
          </w:p>
        </w:tc>
        <w:tc>
          <w:tcPr/>
          <w:p>
            <w:pPr>
              <w:pStyle w:val="Compact"/>
              <w:jc w:val="left"/>
            </w:pPr>
            <w:r>
              <w:t xml:space="preserve">+56.4%</w:t>
            </w:r>
          </w:p>
        </w:tc>
      </w:tr>
      <w:tr>
        <w:tc>
          <w:tcPr/>
          <w:p>
            <w:pPr>
              <w:pStyle w:val="Compact"/>
              <w:jc w:val="left"/>
            </w:pPr>
            <w:r>
              <w:t xml:space="preserve">Accessory Services (Ties, Pocket Squares)</w:t>
            </w:r>
          </w:p>
        </w:tc>
        <w:tc>
          <w:tcPr/>
          <w:p>
            <w:pPr>
              <w:pStyle w:val="Compact"/>
              <w:jc w:val="left"/>
            </w:pPr>
            <w:r>
              <w:t xml:space="preserve">35,700</w:t>
            </w:r>
          </w:p>
        </w:tc>
        <w:tc>
          <w:tcPr/>
          <w:p>
            <w:pPr>
              <w:pStyle w:val="Compact"/>
              <w:jc w:val="left"/>
            </w:pPr>
            <w:r>
              <w:t xml:space="preserve">9.9%</w:t>
            </w:r>
          </w:p>
        </w:tc>
        <w:tc>
          <w:tcPr/>
          <w:p>
            <w:pPr>
              <w:pStyle w:val="Compact"/>
              <w:jc w:val="left"/>
            </w:pPr>
            <w:r>
              <w:t xml:space="preserve">+22.1%</w:t>
            </w:r>
          </w:p>
        </w:tc>
      </w:tr>
      <w:tr>
        <w:tc>
          <w:tcPr/>
          <w:p>
            <w:pPr>
              <w:pStyle w:val="Compact"/>
              <w:jc w:val="left"/>
            </w:pPr>
            <w:r>
              <w:t xml:space="preserve">Casual Tailoring</w:t>
            </w:r>
          </w:p>
        </w:tc>
        <w:tc>
          <w:tcPr/>
          <w:p>
            <w:pPr>
              <w:pStyle w:val="Compact"/>
              <w:jc w:val="left"/>
            </w:pPr>
            <w:r>
              <w:t xml:space="preserve">18,400</w:t>
            </w:r>
          </w:p>
        </w:tc>
        <w:tc>
          <w:tcPr/>
          <w:p>
            <w:pPr>
              <w:pStyle w:val="Compact"/>
              <w:jc w:val="left"/>
            </w:pPr>
            <w:r>
              <w:t xml:space="preserve">5.1%</w:t>
            </w:r>
          </w:p>
        </w:tc>
        <w:tc>
          <w:tcPr/>
          <w:p>
            <w:pPr>
              <w:pStyle w:val="Compact"/>
              <w:jc w:val="left"/>
            </w:pPr>
            <w:r>
              <w:t xml:space="preserve">+14.6%</w:t>
            </w:r>
          </w:p>
        </w:tc>
      </w:tr>
      <w:tr>
        <w:tc>
          <w:tcPr/>
          <w:p>
            <w:pPr>
              <w:pStyle w:val="Compact"/>
              <w:jc w:val="left"/>
            </w:pPr>
            <w:r>
              <w:rPr>
                <w:bCs/>
                <w:b/>
              </w:rPr>
              <w:t xml:space="preserve">Total</w:t>
            </w:r>
          </w:p>
        </w:tc>
        <w:tc>
          <w:tcPr/>
          <w:p>
            <w:pPr>
              <w:pStyle w:val="Compact"/>
              <w:jc w:val="left"/>
            </w:pPr>
            <w:r>
              <w:rPr>
                <w:bCs/>
                <w:b/>
              </w:rPr>
              <w:t xml:space="preserve">352,600</w:t>
            </w:r>
          </w:p>
        </w:tc>
        <w:tc>
          <w:tcPr/>
          <w:p>
            <w:pPr>
              <w:pStyle w:val="Compact"/>
              <w:jc w:val="left"/>
            </w:pPr>
            <w:r>
              <w:rPr>
                <w:bCs/>
                <w:b/>
              </w:rPr>
              <w:t xml:space="preserve">100%</w:t>
            </w:r>
          </w:p>
        </w:tc>
        <w:tc>
          <w:tcPr/>
          <w:p>
            <w:pPr>
              <w:pStyle w:val="Compact"/>
              <w:jc w:val="left"/>
            </w:pPr>
            <w:r>
              <w:rPr>
                <w:bCs/>
                <w:b/>
              </w:rPr>
              <w:t xml:space="preserve">+37.1%</w:t>
            </w:r>
          </w:p>
        </w:tc>
      </w:tr>
    </w:tbl>
    <w:p>
      <w:pPr>
        <w:pStyle w:val="BodyText"/>
      </w:pPr>
      <w:r>
        <w:t xml:space="preserve">The data confirms that tailor services in Germany Frankfurt are experiencing unprecedented growth, particularly in corporate uniform solutions which saw the highest YoY increase. Notably, 73% of new clients were referred through existing business contacts – a testament to the quality of our tailor service delivery within Frankfurt's tight-knit professional community.</w:t>
      </w:r>
    </w:p>
    <w:bookmarkEnd w:id="22"/>
    <w:bookmarkStart w:id="23" w:name="Xef1a5246997794d41140f9bab1a7dd271b04275"/>
    <w:p>
      <w:pPr>
        <w:pStyle w:val="Heading2"/>
      </w:pPr>
      <w:r>
        <w:t xml:space="preserve">IV. Key Success Factors for Tailor Services in Frankfurt</w:t>
      </w:r>
    </w:p>
    <w:p>
      <w:pPr>
        <w:pStyle w:val="FirstParagraph"/>
      </w:pPr>
      <w:r>
        <w:t xml:space="preserve">Several strategic elements have driven this Sales Report's positive outcome:</w:t>
      </w:r>
    </w:p>
    <w:p>
      <w:pPr>
        <w:numPr>
          <w:ilvl w:val="0"/>
          <w:numId w:val="1002"/>
        </w:numPr>
        <w:pStyle w:val="Compact"/>
      </w:pPr>
      <w:r>
        <w:rPr>
          <w:bCs/>
          <w:b/>
        </w:rPr>
        <w:t xml:space="preserve">Location Strategy:</w:t>
      </w:r>
      <w:r>
        <w:t xml:space="preserve"> </w:t>
      </w:r>
      <w:r>
        <w:t xml:space="preserve">Our flagship tailor studio at Zeil 173 (Frankfurt's premier shopping avenue) provides unmatched accessibility for German corporate clients. The proximity to the European Central Bank and financial district drives consistent foot traffic.</w:t>
      </w:r>
    </w:p>
    <w:p>
      <w:pPr>
        <w:numPr>
          <w:ilvl w:val="0"/>
          <w:numId w:val="1002"/>
        </w:numPr>
        <w:pStyle w:val="Compact"/>
      </w:pPr>
      <w:r>
        <w:rPr>
          <w:bCs/>
          <w:b/>
        </w:rPr>
        <w:t xml:space="preserve">Cultural Adaptation:</w:t>
      </w:r>
      <w:r>
        <w:t xml:space="preserve"> </w:t>
      </w:r>
      <w:r>
        <w:t xml:space="preserve">Unlike other European markets, Frankfurt clients require precise measurement documentation in German business format. Our tailor teams now provide dual-language (German/English) service records – a critical differentiator.</w:t>
      </w:r>
    </w:p>
    <w:p>
      <w:pPr>
        <w:numPr>
          <w:ilvl w:val="0"/>
          <w:numId w:val="1002"/>
        </w:numPr>
        <w:pStyle w:val="Compact"/>
      </w:pPr>
      <w:r>
        <w:rPr>
          <w:bCs/>
          <w:b/>
        </w:rPr>
        <w:t xml:space="preserve">Digital Integration:</w:t>
      </w:r>
      <w:r>
        <w:t xml:space="preserve"> </w:t>
      </w:r>
      <w:r>
        <w:t xml:space="preserve">The introduction of our "Frankfurt Fit" mobile app for virtual consultations has increased appointment bookings by 47% while maintaining the personal touch expected in German business culture.</w:t>
      </w:r>
    </w:p>
    <w:p>
      <w:pPr>
        <w:numPr>
          <w:ilvl w:val="0"/>
          <w:numId w:val="1002"/>
        </w:numPr>
        <w:pStyle w:val="Compact"/>
      </w:pPr>
      <w:r>
        <w:rPr>
          <w:bCs/>
          <w:b/>
        </w:rPr>
        <w:t xml:space="preserve">Corporate Partnerships:</w:t>
      </w:r>
      <w:r>
        <w:t xml:space="preserve"> </w:t>
      </w:r>
      <w:r>
        <w:t xml:space="preserve">Strategic alliances with Frankfurt-based firms like Messe Frankfurt and Deutsche Bank's HR departments have generated exclusive corporate tailoring packages, contributing to 32% of total Q3 revenue.</w:t>
      </w:r>
    </w:p>
    <w:bookmarkEnd w:id="23"/>
    <w:bookmarkStart w:id="24" w:name="v.-customer-satisfaction-retention"/>
    <w:p>
      <w:pPr>
        <w:pStyle w:val="Heading2"/>
      </w:pPr>
      <w:r>
        <w:t xml:space="preserve">V. Customer Satisfaction &amp; Retention</w:t>
      </w:r>
    </w:p>
    <w:p>
      <w:pPr>
        <w:pStyle w:val="FirstParagraph"/>
      </w:pPr>
      <w:r>
        <w:t xml:space="preserve">Customer retention rates for tailor services in Germany Frankfurt reached 89% – significantly higher than the industry average of 76%. This is directly linked to our tailored service philosophy that prioritizes:</w:t>
      </w:r>
    </w:p>
    <w:p>
      <w:pPr>
        <w:numPr>
          <w:ilvl w:val="0"/>
          <w:numId w:val="1003"/>
        </w:numPr>
        <w:pStyle w:val="Compact"/>
      </w:pPr>
      <w:r>
        <w:t xml:space="preserve">Zero-wait appointments (15-minute minimum booking window)</w:t>
      </w:r>
    </w:p>
    <w:p>
      <w:pPr>
        <w:numPr>
          <w:ilvl w:val="0"/>
          <w:numId w:val="1003"/>
        </w:numPr>
        <w:pStyle w:val="Compact"/>
      </w:pPr>
      <w:r>
        <w:t xml:space="preserve">Two-fitting process standard for all bespoke orders</w:t>
      </w:r>
    </w:p>
    <w:p>
      <w:pPr>
        <w:numPr>
          <w:ilvl w:val="0"/>
          <w:numId w:val="1003"/>
        </w:numPr>
        <w:pStyle w:val="Compact"/>
      </w:pPr>
      <w:r>
        <w:t xml:space="preserve">Dedicated account managers for corporate clients</w:t>
      </w:r>
    </w:p>
    <w:p>
      <w:pPr>
        <w:pStyle w:val="FirstParagraph"/>
      </w:pPr>
      <w:r>
        <w:t xml:space="preserve">Our customer satisfaction survey in Frankfurt revealed that 92% of clients specifically mentioned "precision tailoring" and "German-language service" as primary reasons for choosing our tailor services over competitors. This cultural alignment is critical in Germany's market where business relationships are built on trust and reliability.</w:t>
      </w:r>
    </w:p>
    <w:bookmarkEnd w:id="24"/>
    <w:bookmarkStart w:id="25" w:name="vi.-challenges-strategic-adjustments"/>
    <w:p>
      <w:pPr>
        <w:pStyle w:val="Heading2"/>
      </w:pPr>
      <w:r>
        <w:t xml:space="preserve">VI. Challenges &amp; Strategic Adjustments</w:t>
      </w:r>
    </w:p>
    <w:p>
      <w:pPr>
        <w:pStyle w:val="FirstParagraph"/>
      </w:pPr>
      <w:r>
        <w:t xml:space="preserve">Despite strong performance, we identified two challenges requiring immediate attention in the Germany Frankfurt market:</w:t>
      </w:r>
    </w:p>
    <w:p>
      <w:pPr>
        <w:numPr>
          <w:ilvl w:val="0"/>
          <w:numId w:val="1004"/>
        </w:numPr>
        <w:pStyle w:val="Compact"/>
      </w:pPr>
      <w:r>
        <w:rPr>
          <w:bCs/>
          <w:b/>
        </w:rPr>
        <w:t xml:space="preserve">Labor Shortage:</w:t>
      </w:r>
      <w:r>
        <w:t xml:space="preserve"> </w:t>
      </w:r>
      <w:r>
        <w:t xml:space="preserve">35% of our Frankfurt tailor positions require multilingual skills (German/English) that are increasingly scarce. We're implementing a German language training program for all new hires starting Q1 2024.</w:t>
      </w:r>
    </w:p>
    <w:p>
      <w:pPr>
        <w:numPr>
          <w:ilvl w:val="0"/>
          <w:numId w:val="1004"/>
        </w:numPr>
        <w:pStyle w:val="Compact"/>
      </w:pPr>
      <w:r>
        <w:rPr>
          <w:bCs/>
          <w:b/>
        </w:rPr>
        <w:t xml:space="preserve">Price Sensitivity:</w:t>
      </w:r>
      <w:r>
        <w:t xml:space="preserve"> </w:t>
      </w:r>
      <w:r>
        <w:t xml:space="preserve">Some premium clients expressed concerns about the €950-€1,850 price range for bespoke suits. We're developing a "Frankfurt Business Class" tier with slightly adjusted materials while maintaining our core craftsmanship standards.</w:t>
      </w:r>
    </w:p>
    <w:bookmarkEnd w:id="25"/>
    <w:bookmarkStart w:id="26" w:name="vii.-conclusion-forward-strategy"/>
    <w:p>
      <w:pPr>
        <w:pStyle w:val="Heading2"/>
      </w:pPr>
      <w:r>
        <w:t xml:space="preserve">VII. Conclusion &amp; Forward Strategy</w:t>
      </w:r>
    </w:p>
    <w:p>
      <w:pPr>
        <w:pStyle w:val="FirstParagraph"/>
      </w:pPr>
      <w:r>
        <w:t xml:space="preserve">This Sales Report unequivocally confirms that tailor services in Germany Frankfurt represent a high-growth, high-margin segment for our global operations. The market's unique combination of corporate demand, cultural expectations, and economic activity creates an ideal environment for specialized tailoring businesses.</w:t>
      </w:r>
    </w:p>
    <w:p>
      <w:pPr>
        <w:pStyle w:val="BodyText"/>
      </w:pPr>
      <w:r>
        <w:t xml:space="preserve">Our strategic focus for Q4 2023 includes: (1) expanding the corporate uniform division to capture more Frankfurt-based financial institutions, (2) launching a loyalty program specifically designed for German business clients, and (3) implementing AI-powered fabric selection tools to enhance the bespoke experience. These initiatives are projected to increase Germany Frankfurt tailor services revenue by an additional 25% in Q4.</w:t>
      </w:r>
    </w:p>
    <w:p>
      <w:pPr>
        <w:pStyle w:val="BodyText"/>
      </w:pPr>
      <w:r>
        <w:t xml:space="preserve">As the premier tailor service provider in Germany's financial capital, we remain committed to delivering exceptional craftsmanship that meets Frankfurt's exacting standards. This Sales Report demonstrates how our tailored approach – both literally and figuratively – has made our business a benchmark for high-end tailoring services throughout Germany Frankfurt and beyond.</w:t>
      </w:r>
    </w:p>
    <w:p>
      <w:pPr>
        <w:pStyle w:val="BodyText"/>
      </w:pPr>
      <w:r>
        <w:rPr>
          <w:bCs/>
          <w:b/>
        </w:rPr>
        <w:t xml:space="preserve">Prepared By:</w:t>
      </w:r>
      <w:r>
        <w:t xml:space="preserve"> </w:t>
      </w:r>
      <w:r>
        <w:t xml:space="preserve">Global Tailoring Solutions GmbH, Frankfurt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Germany Frankfurt</dc:title>
  <dc:creator/>
  <dc:language>en</dc:language>
  <cp:keywords/>
  <dcterms:created xsi:type="dcterms:W3CDTF">2026-07-23T02:44:43Z</dcterms:created>
  <dcterms:modified xsi:type="dcterms:W3CDTF">2026-07-23T02:44:43Z</dcterms:modified>
</cp:coreProperties>
</file>

<file path=docProps/custom.xml><?xml version="1.0" encoding="utf-8"?>
<Properties xmlns="http://schemas.openxmlformats.org/officeDocument/2006/custom-properties" xmlns:vt="http://schemas.openxmlformats.org/officeDocument/2006/docPropsVTypes"/>
</file>