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f05a36b6ca861ce702a85b45744188e3488e566"/>
    <w:p>
      <w:pPr>
        <w:pStyle w:val="Heading1"/>
      </w:pPr>
      <w:r>
        <w:t xml:space="preserve">Annual Sales Performance Report: Teacher Primary Services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 Solutions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Teacher Primary services across Australia Melbourne during the fiscal year 2023. As a leading provider of educational resources and professional development for primary educators in Victoria, our Melbourne operations achieved remarkable growth with a 34% year-on-year increase in revenue, significantly outpacing national education market averages. This success underscores the critical demand for specialized Teacher Primary support within Australia Melbourne's dynamic education landscape. Our strategic focus on Melbourne's unique pedagogical needs and curriculum requirements has positioned us as the preferred partner for over 720 primary schools across metropolitan Melbourne.</w:t>
      </w:r>
    </w:p>
    <w:bookmarkEnd w:id="20"/>
    <w:bookmarkStart w:id="21" w:name="X2ff66a39fd670979a6a9e5a021d9c67b5fd2de5"/>
    <w:p>
      <w:pPr>
        <w:pStyle w:val="Heading2"/>
      </w:pPr>
      <w:r>
        <w:t xml:space="preserve">II. Market Context: Teacher Primary in Australia Melbourne</w:t>
      </w:r>
    </w:p>
    <w:p>
      <w:pPr>
        <w:pStyle w:val="FirstParagraph"/>
      </w:pPr>
      <w:r>
        <w:t xml:space="preserve">The primary education sector in Australia Melbourne faces unprecedented challenges, including rising student diversity, evolving curriculum standards under the Victorian Curriculum and Assessment Authority (VCAA), and heightened demand for digital literacy integration. This context has intensified the need for specialized Teacher Primary resources. In 2023 alone, Melbourne's Department of Education reported a 15% increase in primary school enrollments across key suburbs like Docklands, Dandenong, and North Melbourne, creating urgent demand for high-quality teaching materials and professional support. As Australia's education hub with over 180 primary schools in the metropolitan area operating under rigorous state standards, Melbourne represents a pivotal market for Teacher Primary service providers.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from Teacher Primary services reached $4.8M AUD in 2023, up from $3.6M AUD in 2022 (34% YoY growth). This exceeded our target of $4.1M by 17%.</w:t>
      </w:r>
    </w:p>
    <w:p>
      <w:pPr>
        <w:pStyle w:val="BodyText"/>
      </w:pPr>
      <w:r>
        <w:rPr>
          <w:bCs/>
          <w:b/>
        </w:rPr>
        <w:t xml:space="preserve">Product Category Breakdown:</w:t>
      </w:r>
    </w:p>
    <w:p>
      <w:pPr>
        <w:numPr>
          <w:ilvl w:val="0"/>
          <w:numId w:val="1001"/>
        </w:numPr>
        <w:pStyle w:val="Compact"/>
      </w:pPr>
      <w:r>
        <w:rPr>
          <w:iCs/>
          <w:i/>
        </w:rPr>
        <w:t xml:space="preserve">Curriculum-Aligned Resource Kits</w:t>
      </w:r>
      <w:r>
        <w:t xml:space="preserve">: $2.1M (44% of total revenue) – Includes VCE-aligned materials for Years F-6, particularly strong in literacy/numeracy bundles.</w:t>
      </w:r>
    </w:p>
    <w:p>
      <w:pPr>
        <w:numPr>
          <w:ilvl w:val="0"/>
          <w:numId w:val="1001"/>
        </w:numPr>
        <w:pStyle w:val="Compact"/>
      </w:pPr>
      <w:r>
        <w:rPr>
          <w:iCs/>
          <w:i/>
        </w:rPr>
        <w:t xml:space="preserve">Professional Development Workshops</w:t>
      </w:r>
      <w:r>
        <w:t xml:space="preserve">: $1.7M (35%) – Melbourne-based sessions on inclusive pedagogy and technology integration saw 28% growth.</w:t>
      </w:r>
    </w:p>
    <w:p>
      <w:pPr>
        <w:numPr>
          <w:ilvl w:val="0"/>
          <w:numId w:val="1001"/>
        </w:numPr>
        <w:pStyle w:val="Compact"/>
      </w:pPr>
      <w:r>
        <w:rPr>
          <w:iCs/>
          <w:i/>
        </w:rPr>
        <w:t xml:space="preserve">Digital Learning Platforms</w:t>
      </w:r>
      <w:r>
        <w:t xml:space="preserve">: $0.9M (19%) – Subscription services for teacher collaboration and student progress tracking gained significant traction.</w:t>
      </w:r>
    </w:p>
    <w:p>
      <w:pPr>
        <w:pStyle w:val="FirstParagraph"/>
      </w:pPr>
      <w:r>
        <w:rPr>
          <w:bCs/>
          <w:b/>
        </w:rPr>
        <w:t xml:space="preserve">Geographic Performance:</w:t>
      </w:r>
      <w:r>
        <w:t xml:space="preserve"> </w:t>
      </w:r>
      <w:r>
        <w:t xml:space="preserve">Melbourne CBD schools contributed 38% of sales, while suburban regions (Melbourne’s northern and western corridors) grew by 42% YoY due to targeted outreach programs. The high-demand areas included:</w:t>
      </w:r>
    </w:p>
    <w:p>
      <w:pPr>
        <w:numPr>
          <w:ilvl w:val="0"/>
          <w:numId w:val="1002"/>
        </w:numPr>
        <w:pStyle w:val="Compact"/>
      </w:pPr>
      <w:r>
        <w:t xml:space="preserve">Northern Melbourne: 21% growth (focus on multicultural classroom strategies)</w:t>
      </w:r>
    </w:p>
    <w:p>
      <w:pPr>
        <w:numPr>
          <w:ilvl w:val="0"/>
          <w:numId w:val="1002"/>
        </w:numPr>
        <w:pStyle w:val="Compact"/>
      </w:pPr>
      <w:r>
        <w:t xml:space="preserve">Eastern Melbourne: 35% growth (digital literacy workshops)</w:t>
      </w:r>
    </w:p>
    <w:p>
      <w:pPr>
        <w:numPr>
          <w:ilvl w:val="0"/>
          <w:numId w:val="1002"/>
        </w:numPr>
        <w:pStyle w:val="Compact"/>
      </w:pPr>
      <w:r>
        <w:t xml:space="preserve">Southbank &amp; Docklands: 27% growth (new school infrastructure partnerships)</w:t>
      </w:r>
    </w:p>
    <w:bookmarkEnd w:id="22"/>
    <w:bookmarkStart w:id="23" w:name="iv.-key-driver-analysis"/>
    <w:p>
      <w:pPr>
        <w:pStyle w:val="Heading2"/>
      </w:pPr>
      <w:r>
        <w:t xml:space="preserve">IV. Key Driver Analysis</w:t>
      </w:r>
    </w:p>
    <w:p>
      <w:pPr>
        <w:pStyle w:val="FirstParagraph"/>
      </w:pPr>
      <w:r>
        <w:t xml:space="preserve">The exceptional performance of our Teacher Primary services in Australia Melbourne stems from three strategic pillars:</w:t>
      </w:r>
    </w:p>
    <w:p>
      <w:pPr>
        <w:numPr>
          <w:ilvl w:val="0"/>
          <w:numId w:val="1003"/>
        </w:numPr>
        <w:pStyle w:val="Compact"/>
      </w:pPr>
      <w:r>
        <w:rPr>
          <w:bCs/>
          <w:b/>
        </w:rPr>
        <w:t xml:space="preserve">Hyper-Local Curriculum Alignment:</w:t>
      </w:r>
      <w:r>
        <w:t xml:space="preserve"> </w:t>
      </w:r>
      <w:r>
        <w:t xml:space="preserve">We developed 100% of resources to directly address VCAA's latest literacy and numeracy frameworks, with materials co-created with Melbourne-based curriculum specialists. This precision reduced teacher adaptation time by 58% compared to generic products.</w:t>
      </w:r>
    </w:p>
    <w:p>
      <w:pPr>
        <w:numPr>
          <w:ilvl w:val="0"/>
          <w:numId w:val="1003"/>
        </w:numPr>
        <w:pStyle w:val="Compact"/>
      </w:pPr>
      <w:r>
        <w:rPr>
          <w:bCs/>
          <w:b/>
        </w:rPr>
        <w:t xml:space="preserve">Community-Embedded Delivery:</w:t>
      </w:r>
      <w:r>
        <w:t xml:space="preserve"> </w:t>
      </w:r>
      <w:r>
        <w:t xml:space="preserve">Our Melbourne team established partnerships with 12 Local Government Areas (LGAs) including Maribyrnong and Moreland, enabling targeted school visits and professional development sessions within schools – a strategy that increased client retention by 31%.</w:t>
      </w:r>
    </w:p>
    <w:p>
      <w:pPr>
        <w:numPr>
          <w:ilvl w:val="0"/>
          <w:numId w:val="1003"/>
        </w:numPr>
        <w:pStyle w:val="Compact"/>
      </w:pPr>
      <w:r>
        <w:rPr>
          <w:bCs/>
          <w:b/>
        </w:rPr>
        <w:t xml:space="preserve">Digital Integration Focus:</w:t>
      </w:r>
      <w:r>
        <w:t xml:space="preserve"> </w:t>
      </w:r>
      <w:r>
        <w:t xml:space="preserve">Recognizing Melbourne’s shift toward blended learning (post-pandemic), our Teacher Primary digital platform saw 200% user growth. Features like real-time student progress analytics and AI-driven lesson suggestions became critical for Melbourne educators managing diverse classrooms.</w:t>
      </w:r>
    </w:p>
    <w:bookmarkEnd w:id="23"/>
    <w:bookmarkStart w:id="24" w:name="Xad103a9dd878fe50a0cd0afc671d70d2bac4049"/>
    <w:p>
      <w:pPr>
        <w:pStyle w:val="Heading2"/>
      </w:pPr>
      <w:r>
        <w:t xml:space="preserve">V. Market Trends Impacting Teacher Primary Sales in Australia Melbourne</w:t>
      </w:r>
    </w:p>
    <w:p>
      <w:pPr>
        <w:pStyle w:val="FirstParagraph"/>
      </w:pPr>
      <w:r>
        <w:t xml:space="preserve">Several emerging trends directly influenced our 2023 sales trajectory:</w:t>
      </w:r>
    </w:p>
    <w:p>
      <w:pPr>
        <w:numPr>
          <w:ilvl w:val="0"/>
          <w:numId w:val="1004"/>
        </w:numPr>
        <w:pStyle w:val="Compact"/>
      </w:pPr>
      <w:r>
        <w:rPr>
          <w:iCs/>
          <w:i/>
        </w:rPr>
        <w:t xml:space="preserve">Increased Demand for Inclusive Education Resources:</w:t>
      </w:r>
      <w:r>
        <w:t xml:space="preserve"> </w:t>
      </w:r>
      <w:r>
        <w:t xml:space="preserve">With Melbourne's primary schools serving 1:4 international student ratios (higher than national average), demand surged for culturally responsive Teacher Primary materials. Our "Multicultural Classroom Toolkit" generated $650K in sales.</w:t>
      </w:r>
    </w:p>
    <w:p>
      <w:pPr>
        <w:numPr>
          <w:ilvl w:val="0"/>
          <w:numId w:val="1004"/>
        </w:numPr>
        <w:pStyle w:val="Compact"/>
      </w:pPr>
      <w:r>
        <w:rPr>
          <w:iCs/>
          <w:i/>
        </w:rPr>
        <w:t xml:space="preserve">Government Funding Shifts:</w:t>
      </w:r>
      <w:r>
        <w:t xml:space="preserve"> </w:t>
      </w:r>
      <w:r>
        <w:t xml:space="preserve">The Victorian Government's $20M "Future Schools Fund" allocated resources specifically for teacher professional development, creating a new revenue stream we capitalized on through targeted proposals to Melbourne school networks.</w:t>
      </w:r>
    </w:p>
    <w:p>
      <w:pPr>
        <w:numPr>
          <w:ilvl w:val="0"/>
          <w:numId w:val="1004"/>
        </w:numPr>
        <w:pStyle w:val="Compact"/>
      </w:pPr>
      <w:r>
        <w:rPr>
          <w:iCs/>
          <w:i/>
        </w:rPr>
        <w:t xml:space="preserve">Teacher Shortage Pressure:</w:t>
      </w:r>
      <w:r>
        <w:t xml:space="preserve"> </w:t>
      </w:r>
      <w:r>
        <w:t xml:space="preserve">Melbourne experienced a 12% primary teacher vacancy rate (ABS 2023), making efficient resource tools more critical. Our time-saving Teacher Primary digital platform was adopted by 65% of new teachers in participating schools.</w:t>
      </w:r>
    </w:p>
    <w:bookmarkEnd w:id="24"/>
    <w:bookmarkStart w:id="25" w:name="vi.-challenges-and-strategic-response"/>
    <w:p>
      <w:pPr>
        <w:pStyle w:val="Heading2"/>
      </w:pPr>
      <w:r>
        <w:t xml:space="preserve">VI. Challenges and Strategic Response</w:t>
      </w:r>
    </w:p>
    <w:p>
      <w:pPr>
        <w:pStyle w:val="FirstParagraph"/>
      </w:pPr>
      <w:r>
        <w:t xml:space="preserve">We navigated three significant challenges in Australia Melbourne:</w:t>
      </w:r>
    </w:p>
    <w:p>
      <w:pPr>
        <w:numPr>
          <w:ilvl w:val="0"/>
          <w:numId w:val="1005"/>
        </w:numPr>
        <w:pStyle w:val="Compact"/>
      </w:pPr>
      <w:r>
        <w:rPr>
          <w:iCs/>
          <w:i/>
        </w:rPr>
        <w:t xml:space="preserve">Supply Chain Disruptions:</w:t>
      </w:r>
      <w:r>
        <w:t xml:space="preserve"> </w:t>
      </w:r>
      <w:r>
        <w:t xml:space="preserve">Late 2023 shipping delays affected physical resource delivery to outer-Melbourne schools. We responded by developing "Instant Digital Access" for all physical bundles, reducing delivery time from 14 to 48 hours and retaining 95% of affected clients.</w:t>
      </w:r>
    </w:p>
    <w:p>
      <w:pPr>
        <w:numPr>
          <w:ilvl w:val="0"/>
          <w:numId w:val="1005"/>
        </w:numPr>
        <w:pStyle w:val="Compact"/>
      </w:pPr>
      <w:r>
        <w:rPr>
          <w:iCs/>
          <w:i/>
        </w:rPr>
        <w:t xml:space="preserve">Competitive Pricing Pressure:</w:t>
      </w:r>
      <w:r>
        <w:t xml:space="preserve"> </w:t>
      </w:r>
      <w:r>
        <w:t xml:space="preserve">Local competitors attempted price undercutting. Our focus on value-added services (e.g., free curriculum alignment consulting) maintained average deal size at $3,200 AUD compared to industry average of $2,450.</w:t>
      </w:r>
    </w:p>
    <w:p>
      <w:pPr>
        <w:numPr>
          <w:ilvl w:val="0"/>
          <w:numId w:val="1005"/>
        </w:numPr>
        <w:pStyle w:val="Compact"/>
      </w:pPr>
      <w:r>
        <w:rPr>
          <w:iCs/>
          <w:i/>
        </w:rPr>
        <w:t xml:space="preserve">Regulatory Changes:</w:t>
      </w:r>
      <w:r>
        <w:t xml:space="preserve"> </w:t>
      </w:r>
      <w:r>
        <w:t xml:space="preserve">VCAA's revised literacy standards required rapid content updates. We implemented a "Melbourne Curriculum Task Force" that accelerated resource revisions by 75%, turning regulatory change into a sales opportunity.</w:t>
      </w:r>
    </w:p>
    <w:bookmarkEnd w:id="25"/>
    <w:bookmarkStart w:id="26" w:name="vii.-recommendations-for-2024"/>
    <w:p>
      <w:pPr>
        <w:pStyle w:val="Heading2"/>
      </w:pPr>
      <w:r>
        <w:t xml:space="preserve">VII. Recommendations for 2024</w:t>
      </w:r>
    </w:p>
    <w:p>
      <w:pPr>
        <w:pStyle w:val="FirstParagraph"/>
      </w:pPr>
      <w:r>
        <w:t xml:space="preserve">To sustain growth in Australia Melbourne, we recommend:</w:t>
      </w:r>
    </w:p>
    <w:p>
      <w:pPr>
        <w:numPr>
          <w:ilvl w:val="0"/>
          <w:numId w:val="1006"/>
        </w:numPr>
        <w:pStyle w:val="Compact"/>
      </w:pPr>
      <w:r>
        <w:t xml:space="preserve">Expand the Teacher Primary Digital Platform with AI features tailored to Melbourne’s high-needs schools (target: +35% platform adoption).</w:t>
      </w:r>
    </w:p>
    <w:p>
      <w:pPr>
        <w:numPr>
          <w:ilvl w:val="0"/>
          <w:numId w:val="1006"/>
        </w:numPr>
        <w:pStyle w:val="Compact"/>
      </w:pPr>
      <w:r>
        <w:t xml:space="preserve">Develop a "Melbourne Metro School Partnership Program" offering customized resource bundles at 20% discounts for school clusters.</w:t>
      </w:r>
    </w:p>
    <w:p>
      <w:pPr>
        <w:numPr>
          <w:ilvl w:val="0"/>
          <w:numId w:val="1006"/>
        </w:numPr>
        <w:pStyle w:val="Compact"/>
      </w:pPr>
      <w:r>
        <w:t xml:space="preserve">Forge direct partnerships with Melbourne universities (e.g., Monash, Melbourne) to integrate our Teacher Primary resources into pre-service teacher training programs.</w:t>
      </w:r>
    </w:p>
    <w:bookmarkEnd w:id="26"/>
    <w:bookmarkStart w:id="27" w:name="viii.-conclusion"/>
    <w:p>
      <w:pPr>
        <w:pStyle w:val="Heading2"/>
      </w:pPr>
      <w:r>
        <w:t xml:space="preserve">VIII. Conclusion</w:t>
      </w:r>
    </w:p>
    <w:p>
      <w:pPr>
        <w:pStyle w:val="FirstParagraph"/>
      </w:pPr>
      <w:r>
        <w:t xml:space="preserve">The 2023 Sales Report for Teacher Primary services in Australia Melbourne demonstrates exceptional market leadership and strategic alignment with Victoria's evolving educational ecosystem. Our 34% revenue growth is not merely a financial achievement but a testament to our deep understanding of Melbourne’s primary education challenges. As Australia's most populous city continues to reshape its approach to early childhood and primary education, the demand for specialized Teacher Primary solutions will only intensify. By maintaining our focus on hyper-local curriculum integration, community partnership development, and digital innovation – all centered around Melbourne's unique educational needs – we are positioned to capture 40% of the metropolitan primary resources market by 2025. This Sales Report confirms that strategic investment in Teacher Primary services within Australia Melbourne delivers sustainable growth while directly supporting educators across the Victorian capital.</w:t>
      </w:r>
    </w:p>
    <w:p>
      <w:pPr>
        <w:pStyle w:val="BodyText"/>
      </w:pPr>
      <w:r>
        <w:rPr>
          <w:iCs/>
          <w:i/>
        </w:rPr>
        <w:t xml:space="preserve">Prepared by: Education Solutions Analytics Team | Melbourne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Teacher Primary Services in Australia Melbourne</dc:title>
  <dc:creator/>
  <dc:language>en</dc:language>
  <cp:keywords/>
  <dcterms:created xsi:type="dcterms:W3CDTF">2025-12-12T02:52:02Z</dcterms:created>
  <dcterms:modified xsi:type="dcterms:W3CDTF">2025-12-12T02:52:02Z</dcterms:modified>
</cp:coreProperties>
</file>

<file path=docProps/custom.xml><?xml version="1.0" encoding="utf-8"?>
<Properties xmlns="http://schemas.openxmlformats.org/officeDocument/2006/custom-properties" xmlns:vt="http://schemas.openxmlformats.org/officeDocument/2006/docPropsVTypes"/>
</file>