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Analysis</w:t>
      </w:r>
    </w:p>
    <w:bookmarkStart w:id="26" w:name="Xc33b9f46fc0314437f4c82ba37de8fce5aa95ed"/>
    <w:p>
      <w:pPr>
        <w:pStyle w:val="Heading1"/>
      </w:pPr>
      <w:r>
        <w:t xml:space="preserve">TEACHER PRIMARY SALES REPORT</w:t>
      </w:r>
      <w:r>
        <w:br/>
      </w:r>
      <w:r>
        <w:t xml:space="preserve">GUANGZHOU MARKET PERFORMANCE QUARTERLY ANALYSIS</w:t>
      </w:r>
    </w:p>
    <w:p>
      <w:pPr>
        <w:pStyle w:val="FirstParagraph"/>
      </w:pPr>
      <w:r>
        <w:t xml:space="preserve">Prepared for Global Education Partners | Q3 2023 | China Guangzhou Region</w:t>
      </w:r>
    </w:p>
    <w:bookmarkStart w:id="20" w:name="executive-summary"/>
    <w:p>
      <w:pPr>
        <w:pStyle w:val="Heading2"/>
      </w:pPr>
      <w:r>
        <w:t xml:space="preserve">Executive Summary</w:t>
      </w:r>
    </w:p>
    <w:p>
      <w:pPr>
        <w:pStyle w:val="FirstParagraph"/>
      </w:pPr>
      <w:r>
        <w:t xml:space="preserve">This comprehensive Sales Report details the performance of our Teacher Primary education solutions across China Guangzhou. Serving over 75 primary schools in Guangzhou's core districts (Yuexiu, Tianhe, Haizhu), our platform has achieved a remarkable 32% year-over-year growth in licensed teacher subscriptions. This success directly aligns with Guangzhou's strategic education reform initiative—</w:t>
      </w:r>
      <w:r>
        <w:rPr>
          <w:iCs/>
          <w:i/>
        </w:rPr>
        <w:t xml:space="preserve">Guangdong Education Modernization 2035</w:t>
      </w:r>
      <w:r>
        <w:t xml:space="preserve">—which prioritizes teacher quality enhancement in primary education. The Teacher Primary program, specifically designed for elementary educators in China Guangzhou, has become the region's most adopted professional development solution among public and private institutions.</w:t>
      </w:r>
    </w:p>
    <w:bookmarkEnd w:id="20"/>
    <w:bookmarkStart w:id="21" w:name="X7cdde7dc1b7aa3b61c749934db726dfd70c9f2b"/>
    <w:p>
      <w:pPr>
        <w:pStyle w:val="Heading2"/>
      </w:pPr>
      <w:r>
        <w:t xml:space="preserve">Market Context: China Guangzhou's Primary Education Landscape</w:t>
      </w:r>
    </w:p>
    <w:p>
      <w:pPr>
        <w:pStyle w:val="FirstParagraph"/>
      </w:pPr>
      <w:r>
        <w:t xml:space="preserve">Guangzhou, as China's third-largest city with over 15 million residents and a rapidly growing young population, presents an exceptional market for Teacher Primary solutions. The Guangdong Provincial Education Department has allocated ¥8.7 billion (US$1.2 billion) in 2023 specifically for primary teacher training—creating unprecedented demand for quality professional development tools. In China Guangzhou alone, 1,436 new primary schools opened between 2020-2023 to accommodate urbanization pressures, generating a need for over 45,000 new primary teachers annually.</w:t>
      </w:r>
    </w:p>
    <w:p>
      <w:pPr>
        <w:pStyle w:val="BodyText"/>
      </w:pPr>
      <w:r>
        <w:t xml:space="preserve">Our Teacher Primary platform has directly responded to three critical Guangzhou market needs:</w:t>
      </w:r>
    </w:p>
    <w:p>
      <w:pPr>
        <w:numPr>
          <w:ilvl w:val="0"/>
          <w:numId w:val="1001"/>
        </w:numPr>
        <w:pStyle w:val="Compact"/>
      </w:pPr>
      <w:r>
        <w:rPr>
          <w:bCs/>
          <w:b/>
        </w:rPr>
        <w:t xml:space="preserve">Curriculum Alignment:</w:t>
      </w:r>
      <w:r>
        <w:t xml:space="preserve"> </w:t>
      </w:r>
      <w:r>
        <w:t xml:space="preserve">Localized content matching Guangzhou's "New Primary Curriculum Standards 2022" (Guangdong Implementation)</w:t>
      </w:r>
    </w:p>
    <w:p>
      <w:pPr>
        <w:numPr>
          <w:ilvl w:val="0"/>
          <w:numId w:val="1001"/>
        </w:numPr>
        <w:pStyle w:val="Compact"/>
      </w:pPr>
      <w:r>
        <w:rPr>
          <w:bCs/>
          <w:b/>
        </w:rPr>
        <w:t xml:space="preserve">Language Integration:</w:t>
      </w:r>
      <w:r>
        <w:t xml:space="preserve"> </w:t>
      </w:r>
      <w:r>
        <w:t xml:space="preserve">Bilingual pedagogy modules addressing Guangzhou's unique Cantonese-Mandarin educational environment</w:t>
      </w:r>
    </w:p>
    <w:p>
      <w:pPr>
        <w:numPr>
          <w:ilvl w:val="0"/>
          <w:numId w:val="1001"/>
        </w:numPr>
        <w:pStyle w:val="Compact"/>
      </w:pPr>
      <w:r>
        <w:rPr>
          <w:bCs/>
          <w:b/>
        </w:rPr>
        <w:t xml:space="preserve">Government Compliance:</w:t>
      </w:r>
      <w:r>
        <w:t xml:space="preserve"> </w:t>
      </w:r>
      <w:r>
        <w:t xml:space="preserve">Full certification with Guangzhou Education Bureau's "Teacher Quality Improvement Program"</w:t>
      </w:r>
    </w:p>
    <w:bookmarkEnd w:id="21"/>
    <w:bookmarkStart w:id="22" w:name="q3-sales-performance-breakdown"/>
    <w:p>
      <w:pPr>
        <w:pStyle w:val="Heading2"/>
      </w:pPr>
      <w:r>
        <w:t xml:space="preserve">Q3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Region</w:t>
            </w:r>
          </w:p>
        </w:tc>
        <w:tc>
          <w:tcPr/>
          <w:p>
            <w:pPr>
              <w:pStyle w:val="Compact"/>
              <w:jc w:val="left"/>
            </w:pPr>
            <w:r>
              <w:t xml:space="preserve">Number of Schools</w:t>
            </w:r>
          </w:p>
        </w:tc>
        <w:tc>
          <w:tcPr/>
          <w:p>
            <w:pPr>
              <w:pStyle w:val="Compact"/>
              <w:jc w:val="left"/>
            </w:pPr>
            <w:r>
              <w:t xml:space="preserve">New Subscriptions (Q3)</w:t>
            </w:r>
          </w:p>
        </w:tc>
        <w:tc>
          <w:tcPr/>
          <w:p>
            <w:pPr>
              <w:pStyle w:val="Compact"/>
              <w:jc w:val="left"/>
            </w:pPr>
            <w:r>
              <w:t xml:space="preserve">Growth vs Q2 (%)</w:t>
            </w:r>
          </w:p>
        </w:tc>
        <w:tc>
          <w:tcPr/>
          <w:p>
            <w:pPr>
              <w:pStyle w:val="Compact"/>
              <w:jc w:val="left"/>
            </w:pPr>
            <w:r>
              <w:t xml:space="preserve">Revenue Generated (¥)</w:t>
            </w:r>
          </w:p>
        </w:tc>
      </w:tr>
      <w:tr>
        <w:tc>
          <w:tcPr/>
          <w:p>
            <w:pPr>
              <w:pStyle w:val="Compact"/>
              <w:jc w:val="left"/>
            </w:pPr>
            <w:r>
              <w:t xml:space="preserve">Tianhe District (Business Core)</w:t>
            </w:r>
          </w:p>
        </w:tc>
        <w:tc>
          <w:tcPr/>
          <w:p>
            <w:pPr>
              <w:pStyle w:val="Compact"/>
              <w:jc w:val="left"/>
            </w:pPr>
            <w:r>
              <w:t xml:space="preserve">38</w:t>
            </w:r>
          </w:p>
        </w:tc>
        <w:tc>
          <w:tcPr/>
          <w:p>
            <w:pPr>
              <w:pStyle w:val="Compact"/>
              <w:jc w:val="left"/>
            </w:pPr>
            <w:r>
              <w:t xml:space="preserve">22</w:t>
            </w:r>
          </w:p>
        </w:tc>
        <w:tc>
          <w:tcPr/>
          <w:p>
            <w:pPr>
              <w:pStyle w:val="Compact"/>
              <w:jc w:val="left"/>
            </w:pPr>
            <w:r>
              <w:t xml:space="preserve">37%</w:t>
            </w:r>
          </w:p>
        </w:tc>
        <w:tc>
          <w:tcPr/>
          <w:p>
            <w:pPr>
              <w:pStyle w:val="Compact"/>
              <w:jc w:val="left"/>
            </w:pPr>
            <w:r>
              <w:t xml:space="preserve">1,485,000</w:t>
            </w:r>
          </w:p>
        </w:tc>
      </w:tr>
      <w:tr>
        <w:tc>
          <w:tcPr/>
          <w:p>
            <w:pPr>
              <w:pStyle w:val="Compact"/>
              <w:jc w:val="left"/>
            </w:pPr>
            <w:r>
              <w:t xml:space="preserve">Yuexiu District (Historic Center)</w:t>
            </w:r>
          </w:p>
        </w:tc>
        <w:tc>
          <w:tcPr/>
          <w:p>
            <w:pPr>
              <w:pStyle w:val="Compact"/>
              <w:jc w:val="left"/>
            </w:pPr>
            <w:r>
              <w:t xml:space="preserve">42</w:t>
            </w:r>
          </w:p>
        </w:tc>
        <w:tc>
          <w:tcPr/>
          <w:p>
            <w:pPr>
              <w:pStyle w:val="Compact"/>
              <w:jc w:val="left"/>
            </w:pPr>
            <w:r>
              <w:t xml:space="preserve">27</w:t>
            </w:r>
          </w:p>
        </w:tc>
        <w:tc>
          <w:tcPr/>
          <w:p>
            <w:pPr>
              <w:pStyle w:val="Compact"/>
              <w:jc w:val="left"/>
            </w:pPr>
            <w:r>
              <w:t xml:space="preserve">41%</w:t>
            </w:r>
          </w:p>
        </w:tc>
        <w:tc>
          <w:tcPr/>
          <w:p>
            <w:pPr>
              <w:pStyle w:val="Compact"/>
              <w:jc w:val="left"/>
            </w:pPr>
            <w:r>
              <w:t xml:space="preserve">1,678,500</w:t>
            </w:r>
          </w:p>
        </w:tc>
      </w:tr>
      <w:tr>
        <w:tc>
          <w:tcPr/>
          <w:p>
            <w:pPr>
              <w:pStyle w:val="Compact"/>
              <w:jc w:val="left"/>
            </w:pPr>
            <w:r>
              <w:t xml:space="preserve">Haizhu District (Educational Hub)</w:t>
            </w:r>
          </w:p>
        </w:tc>
        <w:tc>
          <w:tcPr/>
          <w:p>
            <w:pPr>
              <w:pStyle w:val="Compact"/>
              <w:jc w:val="left"/>
            </w:pPr>
            <w:r>
              <w:t xml:space="preserve">35</w:t>
            </w:r>
          </w:p>
        </w:tc>
        <w:tc>
          <w:tcPr/>
          <w:p>
            <w:pPr>
              <w:pStyle w:val="Compact"/>
              <w:jc w:val="left"/>
            </w:pPr>
            <w:r>
              <w:t xml:space="preserve">19</w:t>
            </w:r>
          </w:p>
        </w:tc>
        <w:tc>
          <w:tcPr/>
          <w:p>
            <w:pPr>
              <w:pStyle w:val="Compact"/>
              <w:jc w:val="left"/>
            </w:pPr>
            <w:r>
              <w:t xml:space="preserve">28%</w:t>
            </w:r>
          </w:p>
        </w:tc>
        <w:tc>
          <w:tcPr/>
          <w:p>
            <w:pPr>
              <w:pStyle w:val="Compact"/>
              <w:jc w:val="left"/>
            </w:pPr>
            <w:r>
              <w:t xml:space="preserve">1,246,300</w:t>
            </w:r>
          </w:p>
        </w:tc>
      </w:tr>
      <w:tr>
        <w:tc>
          <w:tcPr/>
          <w:p>
            <w:pPr>
              <w:pStyle w:val="Compact"/>
              <w:jc w:val="left"/>
            </w:pPr>
            <w:r>
              <w:rPr>
                <w:bCs/>
                <w:b/>
              </w:rPr>
              <w:t xml:space="preserve">TOTAL</w:t>
            </w:r>
          </w:p>
        </w:tc>
        <w:tc>
          <w:tcPr/>
          <w:p>
            <w:pPr>
              <w:pStyle w:val="Compact"/>
              <w:jc w:val="left"/>
            </w:pPr>
            <w:r>
              <w:rPr>
                <w:bCs/>
                <w:b/>
              </w:rPr>
              <w:t xml:space="preserve">115 Schools</w:t>
            </w:r>
          </w:p>
        </w:tc>
        <w:tc>
          <w:tcPr/>
          <w:p>
            <w:pPr>
              <w:pStyle w:val="Compact"/>
              <w:jc w:val="left"/>
            </w:pPr>
            <w:r>
              <w:rPr>
                <w:bCs/>
                <w:b/>
              </w:rPr>
              <w:t xml:space="preserve">68 New Subscriptions</w:t>
            </w:r>
          </w:p>
        </w:tc>
        <w:tc>
          <w:tcPr/>
          <w:p>
            <w:pPr>
              <w:pStyle w:val="Compact"/>
              <w:jc w:val="left"/>
            </w:pPr>
            <w:r>
              <w:rPr>
                <w:bCs/>
                <w:b/>
              </w:rPr>
              <w:t xml:space="preserve">34% Avg. Growth</w:t>
            </w:r>
          </w:p>
        </w:tc>
        <w:tc>
          <w:tcPr/>
          <w:p>
            <w:pPr>
              <w:pStyle w:val="Compact"/>
              <w:jc w:val="left"/>
            </w:pPr>
            <w:r>
              <w:rPr>
                <w:bCs/>
                <w:b/>
              </w:rPr>
              <w:t xml:space="preserve">4,409,800</w:t>
            </w:r>
          </w:p>
        </w:tc>
      </w:tr>
    </w:tbl>
    <w:p>
      <w:pPr>
        <w:pStyle w:val="BodyText"/>
      </w:pPr>
      <w:r>
        <w:t xml:space="preserve">The Teacher Primary program achieved a 29% adoption rate among Guangzhou public primary schools—the highest in southern China. This growth is significantly driven by our partnership with the Guangzhou Education Development Association (GEDA), which now mandates Teacher Primary certification for all new teachers in accredited institutions. Notably, 87% of Q3 sales came from multi-school contracts (&gt;5 institutions), reflecting strong institutional trust in our Teacher Primary solution.</w:t>
      </w:r>
    </w:p>
    <w:bookmarkEnd w:id="22"/>
    <w:bookmarkStart w:id="23" w:name="key-success-drivers-in-china-guangzhou"/>
    <w:p>
      <w:pPr>
        <w:pStyle w:val="Heading2"/>
      </w:pPr>
      <w:r>
        <w:t xml:space="preserve">Key Success Drivers in China Guangzhou</w:t>
      </w:r>
    </w:p>
    <w:p>
      <w:pPr>
        <w:pStyle w:val="FirstParagraph"/>
      </w:pPr>
      <w:r>
        <w:t xml:space="preserve">Three strategic elements have cemented Teacher Primary's market leadership in China Guangzhou:</w:t>
      </w:r>
    </w:p>
    <w:p>
      <w:pPr>
        <w:numPr>
          <w:ilvl w:val="0"/>
          <w:numId w:val="1002"/>
        </w:numPr>
        <w:pStyle w:val="Compact"/>
      </w:pPr>
      <w:r>
        <w:rPr>
          <w:bCs/>
          <w:b/>
        </w:rPr>
        <w:t xml:space="preserve">Guangzhou-Centric Content:</w:t>
      </w:r>
      <w:r>
        <w:t xml:space="preserve"> </w:t>
      </w:r>
      <w:r>
        <w:t xml:space="preserve">Our localized modules include "Guangdong Culture Integration" units addressing how to incorporate regional Cantonese heritage into primary literacy lessons—a feature unique to our Teacher Primary offering in China Guangzhou.</w:t>
      </w:r>
    </w:p>
    <w:p>
      <w:pPr>
        <w:numPr>
          <w:ilvl w:val="0"/>
          <w:numId w:val="1002"/>
        </w:numPr>
        <w:pStyle w:val="Compact"/>
      </w:pPr>
      <w:r>
        <w:rPr>
          <w:bCs/>
          <w:b/>
        </w:rPr>
        <w:t xml:space="preserve">Government Collaboration:</w:t>
      </w:r>
      <w:r>
        <w:t xml:space="preserve"> </w:t>
      </w:r>
      <w:r>
        <w:t xml:space="preserve">Co-developed with Guangzhou Education Bureau, Teacher Primary meets all compliance requirements for the city's "Quality Teaching Initiative," making it a non-negotiable purchase for schools seeking accreditation.</w:t>
      </w:r>
    </w:p>
    <w:p>
      <w:pPr>
        <w:numPr>
          <w:ilvl w:val="0"/>
          <w:numId w:val="1002"/>
        </w:numPr>
        <w:pStyle w:val="Compact"/>
      </w:pPr>
      <w:r>
        <w:rPr>
          <w:bCs/>
          <w:b/>
        </w:rPr>
        <w:t xml:space="preserve">School Partnership Model:</w:t>
      </w:r>
      <w:r>
        <w:t xml:space="preserve"> </w:t>
      </w:r>
      <w:r>
        <w:t xml:space="preserve">Implemented a tiered pricing structure where Guangzhou schools pay 15% less per teacher when enrolling entire faculties, directly responding to budget constraints faced by China's public primary institutions.</w:t>
      </w:r>
    </w:p>
    <w:bookmarkEnd w:id="23"/>
    <w:bookmarkStart w:id="24" w:name="challenges-strategic-opportunities"/>
    <w:p>
      <w:pPr>
        <w:pStyle w:val="Heading2"/>
      </w:pPr>
      <w:r>
        <w:t xml:space="preserve">Challenges &amp; Strategic Opportunities</w:t>
      </w:r>
    </w:p>
    <w:p>
      <w:pPr>
        <w:pStyle w:val="FirstParagraph"/>
      </w:pPr>
      <w:r>
        <w:t xml:space="preserve">Despite strong growth, two challenges require immediate attention for sustained success in China Guangzhou:</w:t>
      </w:r>
    </w:p>
    <w:p>
      <w:pPr>
        <w:numPr>
          <w:ilvl w:val="0"/>
          <w:numId w:val="1003"/>
        </w:numPr>
        <w:pStyle w:val="Compact"/>
      </w:pPr>
      <w:r>
        <w:rPr>
          <w:bCs/>
          <w:b/>
        </w:rPr>
        <w:t xml:space="preserve">Urban-Rural Divide:</w:t>
      </w:r>
      <w:r>
        <w:t xml:space="preserve"> </w:t>
      </w:r>
      <w:r>
        <w:t xml:space="preserve">Only 43% of schools in Guangzhou's suburban districts (e.g., Zengcheng, Conghua) have adopted Teacher Primary versus 76% in central districts. This gap represents a ¥2.1 million potential revenue opportunity.</w:t>
      </w:r>
    </w:p>
    <w:p>
      <w:pPr>
        <w:numPr>
          <w:ilvl w:val="0"/>
          <w:numId w:val="1003"/>
        </w:numPr>
        <w:pStyle w:val="Compact"/>
      </w:pPr>
      <w:r>
        <w:rPr>
          <w:bCs/>
          <w:b/>
        </w:rPr>
        <w:t xml:space="preserve">Competitor Response:</w:t>
      </w:r>
      <w:r>
        <w:t xml:space="preserve"> </w:t>
      </w:r>
      <w:r>
        <w:t xml:space="preserve">Local rivals like "Guangdong Educator Hub" now offer free trial periods—requiring us to enhance our value proposition for China Guangzhou's cost-conscious schools.</w:t>
      </w:r>
    </w:p>
    <w:p>
      <w:pPr>
        <w:pStyle w:val="FirstParagraph"/>
      </w:pPr>
      <w:r>
        <w:t xml:space="preserve">To address these, our Q4 strategy includes:</w:t>
      </w:r>
    </w:p>
    <w:p>
      <w:pPr>
        <w:numPr>
          <w:ilvl w:val="0"/>
          <w:numId w:val="1004"/>
        </w:numPr>
        <w:pStyle w:val="Compact"/>
      </w:pPr>
      <w:r>
        <w:t xml:space="preserve">Launching a "Guangzhou Rural School Initiative" with subsidized pricing for districts outside core urban zones</w:t>
      </w:r>
    </w:p>
    <w:p>
      <w:pPr>
        <w:numPr>
          <w:ilvl w:val="0"/>
          <w:numId w:val="1004"/>
        </w:numPr>
        <w:pStyle w:val="Compact"/>
      </w:pPr>
      <w:r>
        <w:t xml:space="preserve">Introducing AI-powered lesson planning tools tailored to Guangzhou's primary school curricula (e.g., math problem sets reflecting local contexts)</w:t>
      </w:r>
    </w:p>
    <w:p>
      <w:pPr>
        <w:numPr>
          <w:ilvl w:val="0"/>
          <w:numId w:val="1004"/>
        </w:numPr>
        <w:pStyle w:val="Compact"/>
      </w:pPr>
      <w:r>
        <w:t xml:space="preserve">Hosting quarterly workshops at the Guangdong Educational Innovation Center, co-branded with the Guangzhou Education Bureau</w:t>
      </w:r>
    </w:p>
    <w:bookmarkEnd w:id="24"/>
    <w:bookmarkStart w:id="25" w:name="conclusion-forward-momentum"/>
    <w:p>
      <w:pPr>
        <w:pStyle w:val="Heading2"/>
      </w:pPr>
      <w:r>
        <w:t xml:space="preserve">Conclusion &amp; Forward Momentum</w:t>
      </w:r>
    </w:p>
    <w:p>
      <w:pPr>
        <w:pStyle w:val="FirstParagraph"/>
      </w:pPr>
      <w:r>
        <w:t xml:space="preserve">The China Guangzhou market has unequivocally validated the Teacher Primary solution as the industry standard for primary educator development. Our Q3 performance—driven by deep cultural understanding and strategic alignment with Guangzhou's education priorities—proves that when Teacher Primary solutions are specifically engineered for China's largest metropolis, exceptional results follow. With 82% of Guangzhou primary schools now using Teacher Primary (up from 54% in Q1), we are positioned to capture the entire market by end-2024.</w:t>
      </w:r>
    </w:p>
    <w:p>
      <w:pPr>
        <w:pStyle w:val="BodyText"/>
      </w:pPr>
      <w:r>
        <w:t xml:space="preserve">As Guangzhou accelerates its journey toward becoming China's education innovation capital, Teacher Primary isn't just a product—it's the backbone of professional development for over 98,000 primary teachers across our target city. This Sales Report confirms that our localized approach to China Guangzhou has created not just sales growth, but transformative educational impact.</w:t>
      </w:r>
    </w:p>
    <w:p>
      <w:pPr>
        <w:pStyle w:val="BodyText"/>
      </w:pPr>
      <w:r>
        <w:t xml:space="preserve">Global Education Partners | 238 Huanshi Road, Guangzhou | www.globaleducationpartners.cn</w:t>
      </w:r>
    </w:p>
    <w:p>
      <w:pPr>
        <w:pStyle w:val="BodyText"/>
      </w:pPr>
      <w:r>
        <w:rPr>
          <w:bCs/>
          <w:b/>
        </w:rPr>
        <w:t xml:space="preserve">Key Metric Spotlight:</w:t>
      </w:r>
      <w:r>
        <w:t xml:space="preserve"> </w:t>
      </w:r>
      <w:r>
        <w:t xml:space="preserve">Teacher Primary adoption in China Guangzhou now represents</w:t>
      </w:r>
      <w:r>
        <w:t xml:space="preserve"> </w:t>
      </w:r>
      <w:r>
        <w:t xml:space="preserve">27% of all primary teacher training subscriptions</w:t>
      </w:r>
      <w:r>
        <w:t xml:space="preserve"> </w:t>
      </w:r>
      <w:r>
        <w:t xml:space="preserve">across southern China—significantly higher than the regional average of 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China Guangzhou Market Analysis</dc:title>
  <dc:creator/>
  <dc:language>en</dc:language>
  <cp:keywords/>
  <dcterms:created xsi:type="dcterms:W3CDTF">2026-07-23T21:23:35Z</dcterms:created>
  <dcterms:modified xsi:type="dcterms:W3CDTF">2026-07-23T21:23:35Z</dcterms:modified>
</cp:coreProperties>
</file>

<file path=docProps/custom.xml><?xml version="1.0" encoding="utf-8"?>
<Properties xmlns="http://schemas.openxmlformats.org/officeDocument/2006/custom-properties" xmlns:vt="http://schemas.openxmlformats.org/officeDocument/2006/docPropsVTypes"/>
</file>