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Sales</w:t>
      </w:r>
      <w:r>
        <w:t xml:space="preserve"> </w:t>
      </w:r>
      <w:r>
        <w:t xml:space="preserve">Report</w:t>
      </w:r>
      <w:r>
        <w:t xml:space="preserve"> </w:t>
      </w:r>
      <w:r>
        <w:t xml:space="preserve">-</w:t>
      </w:r>
      <w:r>
        <w:t xml:space="preserve"> </w:t>
      </w:r>
      <w:r>
        <w:t xml:space="preserve">Indonesia</w:t>
      </w:r>
      <w:r>
        <w:t xml:space="preserve"> </w:t>
      </w:r>
      <w:r>
        <w:t xml:space="preserve">Jakarta</w:t>
      </w:r>
    </w:p>
    <w:bookmarkStart w:id="28" w:name="X6e40ccaa87256a1210f82770fceab4497b1d15a"/>
    <w:p>
      <w:pPr>
        <w:pStyle w:val="Heading1"/>
      </w:pPr>
      <w:r>
        <w:t xml:space="preserve">Comprehensive Sales Report: Teacher Primary Educational Solutions in Indonesia Jakarta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EduPro Indonesia</w:t>
      </w:r>
      <w:r>
        <w:br/>
      </w:r>
      <w:r>
        <w:rPr>
          <w:bCs/>
          <w:b/>
        </w:rPr>
        <w:t xml:space="preserve">Prepared By:</w:t>
      </w:r>
      <w:r>
        <w:t xml:space="preserve"> </w:t>
      </w:r>
      <w:r>
        <w:t xml:space="preserve">Regional Sales Management, Jakarta Office</w:t>
      </w:r>
    </w:p>
    <w:bookmarkStart w:id="20" w:name="i.-executive-summary"/>
    <w:p>
      <w:pPr>
        <w:pStyle w:val="Heading2"/>
      </w:pPr>
      <w:r>
        <w:t xml:space="preserve">I. Executive Summary</w:t>
      </w:r>
    </w:p>
    <w:p>
      <w:pPr>
        <w:pStyle w:val="FirstParagraph"/>
      </w:pPr>
      <w:r>
        <w:t xml:space="preserve">This Sales Report details the performance of our Teacher Primary educational solutions across Indonesia Jakarta for Q3 2023. We achieved a 14% year-over-year growth in primary school teacher adoption, securing contracts with 78 new institutions in Jakarta's urban and suburban districts. The report highlights strategic initiatives targeting Teacher Primary professionals, market dynamics specific to Indonesia Jakarta's education landscape, and actionable recommendations for sustained expansion. Our focus on culturally relevant curriculum support has positioned us as the preferred partner for Teacher Primary development in the region.</w:t>
      </w:r>
    </w:p>
    <w:bookmarkEnd w:id="20"/>
    <w:bookmarkStart w:id="23" w:name="ii.-sales-performance-overview-q3-2023"/>
    <w:p>
      <w:pPr>
        <w:pStyle w:val="Heading2"/>
      </w:pPr>
      <w:r>
        <w:t xml:space="preserve">II. Sales Performance Overview (Q3 2023)</w:t>
      </w:r>
    </w:p>
    <w:bookmarkStart w:id="21" w:name="a.-revenue-metrics"/>
    <w:p>
      <w:pPr>
        <w:pStyle w:val="Heading3"/>
      </w:pPr>
      <w:r>
        <w:t xml:space="preserve">A. Revenue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Q2 2023 (IDR)</w:t>
            </w:r>
          </w:p>
        </w:tc>
        <w:tc>
          <w:tcPr/>
          <w:p>
            <w:pPr>
              <w:pStyle w:val="Compact"/>
              <w:jc w:val="left"/>
            </w:pPr>
            <w:r>
              <w:t xml:space="preserve">Q3 2023 (IDR)</w:t>
            </w:r>
          </w:p>
        </w:tc>
        <w:tc>
          <w:tcPr/>
          <w:p>
            <w:pPr>
              <w:pStyle w:val="Compact"/>
              <w:jc w:val="left"/>
            </w:pPr>
            <w:r>
              <w:t xml:space="preserve">% Change</w:t>
            </w:r>
          </w:p>
        </w:tc>
      </w:tr>
      <w:tr>
        <w:tc>
          <w:tcPr/>
          <w:p>
            <w:pPr>
              <w:pStyle w:val="Compact"/>
              <w:jc w:val="left"/>
            </w:pPr>
            <w:r>
              <w:t xml:space="preserve">Digital Learning Kits for Teacher Primary</w:t>
            </w:r>
          </w:p>
        </w:tc>
        <w:tc>
          <w:tcPr/>
          <w:p>
            <w:pPr>
              <w:pStyle w:val="Compact"/>
              <w:jc w:val="left"/>
            </w:pPr>
            <w:r>
              <w:t xml:space="preserve">87,500,000</w:t>
            </w:r>
          </w:p>
        </w:tc>
        <w:tc>
          <w:tcPr/>
          <w:p>
            <w:pPr>
              <w:pStyle w:val="Compact"/>
              <w:jc w:val="left"/>
            </w:pPr>
            <w:r>
              <w:t xml:space="preserve">114,250,000</w:t>
            </w:r>
          </w:p>
        </w:tc>
        <w:tc>
          <w:tcPr/>
          <w:p>
            <w:pPr>
              <w:pStyle w:val="Compact"/>
              <w:jc w:val="left"/>
            </w:pPr>
            <w:r>
              <w:t xml:space="preserve">+31%</w:t>
            </w:r>
          </w:p>
        </w:tc>
      </w:tr>
      <w:tr>
        <w:tc>
          <w:tcPr/>
          <w:p>
            <w:pPr>
              <w:pStyle w:val="Compact"/>
              <w:jc w:val="left"/>
            </w:pPr>
            <w:r>
              <w:t xml:space="preserve">Curriculum Development Workshops</w:t>
            </w:r>
          </w:p>
        </w:tc>
        <w:tc>
          <w:tcPr/>
          <w:p>
            <w:pPr>
              <w:pStyle w:val="Compact"/>
              <w:jc w:val="left"/>
            </w:pPr>
            <w:r>
              <w:t xml:space="preserve">24,350,000</w:t>
            </w:r>
          </w:p>
        </w:tc>
        <w:tc>
          <w:tcPr/>
          <w:p>
            <w:pPr>
              <w:pStyle w:val="Compact"/>
              <w:jc w:val="left"/>
            </w:pPr>
            <w:r>
              <w:t xml:space="preserve">38,675,000</w:t>
            </w:r>
          </w:p>
        </w:tc>
        <w:tc>
          <w:tcPr/>
          <w:p>
            <w:pPr>
              <w:pStyle w:val="Compact"/>
              <w:jc w:val="left"/>
            </w:pPr>
            <w:r>
              <w:t xml:space="preserve">+59%</w:t>
            </w:r>
          </w:p>
        </w:tc>
      </w:tr>
      <w:tr>
        <w:tc>
          <w:tcPr/>
          <w:p>
            <w:pPr>
              <w:pStyle w:val="Compact"/>
              <w:jc w:val="left"/>
            </w:pPr>
            <w:r>
              <w:t xml:space="preserve">Teacher Primary Assessment Tools</w:t>
            </w:r>
          </w:p>
        </w:tc>
        <w:tc>
          <w:tcPr/>
          <w:p>
            <w:pPr>
              <w:pStyle w:val="Compact"/>
              <w:jc w:val="left"/>
            </w:pPr>
            <w:r>
              <w:t xml:space="preserve">19,825,000</w:t>
            </w:r>
          </w:p>
        </w:tc>
        <w:tc>
          <w:tcPr/>
          <w:p>
            <w:pPr>
              <w:pStyle w:val="Compact"/>
              <w:jc w:val="left"/>
            </w:pPr>
            <w:r>
              <w:t xml:space="preserve">26,432,500</w:t>
            </w:r>
          </w:p>
        </w:tc>
        <w:tc>
          <w:tcPr/>
          <w:p>
            <w:pPr>
              <w:pStyle w:val="Compact"/>
              <w:jc w:val="left"/>
            </w:pPr>
            <w:r>
              <w:t xml:space="preserve">+33%</w:t>
            </w:r>
          </w:p>
        </w:tc>
      </w:tr>
      <w:tr>
        <w:tc>
          <w:tcPr/>
          <w:p>
            <w:pPr>
              <w:pStyle w:val="Compact"/>
              <w:jc w:val="left"/>
            </w:pPr>
            <w:r>
              <w:t xml:space="preserve">Total Revenue</w:t>
            </w:r>
          </w:p>
        </w:tc>
        <w:tc>
          <w:tcPr>
            <w:gridSpan w:val="2"/>
          </w:tcPr>
          <w:p>
            <w:pPr>
              <w:pStyle w:val="Compact"/>
              <w:jc w:val="left"/>
            </w:pPr>
            <w:r>
              <w:t xml:space="preserve">131,675,000</w:t>
            </w:r>
          </w:p>
        </w:tc>
        <w:tc>
          <w:tcPr/>
          <w:p>
            <w:pPr>
              <w:pStyle w:val="Compact"/>
              <w:jc w:val="left"/>
            </w:pPr>
            <w:r>
              <w:t xml:space="preserve">+48%</w:t>
            </w:r>
          </w:p>
        </w:tc>
      </w:tr>
    </w:tbl>
    <w:bookmarkEnd w:id="21"/>
    <w:bookmarkStart w:id="22" w:name="b.-key-achievements-in-indonesia-jakarta"/>
    <w:p>
      <w:pPr>
        <w:pStyle w:val="Heading3"/>
      </w:pPr>
      <w:r>
        <w:t xml:space="preserve">B. Key Achievements in Indonesia Jakarta</w:t>
      </w:r>
    </w:p>
    <w:p>
      <w:pPr>
        <w:numPr>
          <w:ilvl w:val="0"/>
          <w:numId w:val="1001"/>
        </w:numPr>
        <w:pStyle w:val="Compact"/>
      </w:pPr>
      <w:r>
        <w:t xml:space="preserve">Secured 78 new primary school contracts across Jakarta (including Kota, Bekasi, Depok), representing a 22% increase from Q2.</w:t>
      </w:r>
    </w:p>
    <w:p>
      <w:pPr>
        <w:numPr>
          <w:ilvl w:val="0"/>
          <w:numId w:val="1001"/>
        </w:numPr>
        <w:pStyle w:val="Compact"/>
      </w:pPr>
      <w:r>
        <w:t xml:space="preserve">Reached 65% market penetration in private primary schools within Central Jakarta – exceeding our regional target by 15 percentage points.</w:t>
      </w:r>
    </w:p>
    <w:p>
      <w:pPr>
        <w:numPr>
          <w:ilvl w:val="0"/>
          <w:numId w:val="1001"/>
        </w:numPr>
        <w:pStyle w:val="Compact"/>
      </w:pPr>
      <w:r>
        <w:t xml:space="preserve">Launched "Kelas Digital Guru" (Digital Teacher Classroom) program specifically designed for Teacher Primary educators, adopted by 320+ teachers in Q3.</w:t>
      </w:r>
    </w:p>
    <w:p>
      <w:pPr>
        <w:numPr>
          <w:ilvl w:val="0"/>
          <w:numId w:val="1001"/>
        </w:numPr>
        <w:pStyle w:val="Compact"/>
      </w:pPr>
      <w:r>
        <w:t xml:space="preserve">Reduced customer acquisition cost (CAC) by 18% through targeted social media campaigns on Instagram and WhatsApp – platforms heavily used by Jakarta's Teacher Primary community.</w:t>
      </w:r>
    </w:p>
    <w:bookmarkEnd w:id="22"/>
    <w:bookmarkEnd w:id="23"/>
    <w:bookmarkStart w:id="24" w:name="Xd7b1aec06876fecfb9c86de70e34e09922521be"/>
    <w:p>
      <w:pPr>
        <w:pStyle w:val="Heading2"/>
      </w:pPr>
      <w:r>
        <w:t xml:space="preserve">III. Market Analysis: Indonesia Jakarta Context</w:t>
      </w:r>
    </w:p>
    <w:p>
      <w:pPr>
        <w:pStyle w:val="FirstParagraph"/>
      </w:pPr>
      <w:r>
        <w:t xml:space="preserve">The education sector in Indonesia Jakarta presents unique opportunities for Teacher Primary solutions. With over 4,800 primary schools serving 3.2 million students in the Greater Jakarta area (BPS 2023 data), demand for modern pedagogical tools has surged following government initiatives like "Merdeka Belajar" (Learning Freedom). Our sales strategy capitalizes on three critical trends:</w:t>
      </w:r>
    </w:p>
    <w:p>
      <w:pPr>
        <w:numPr>
          <w:ilvl w:val="0"/>
          <w:numId w:val="1002"/>
        </w:numPr>
        <w:pStyle w:val="Compact"/>
      </w:pPr>
      <w:r>
        <w:rPr>
          <w:bCs/>
          <w:b/>
        </w:rPr>
        <w:t xml:space="preserve">Government Alignment:</w:t>
      </w:r>
      <w:r>
        <w:t xml:space="preserve"> </w:t>
      </w:r>
      <w:r>
        <w:t xml:space="preserve">School principals increasingly require Teacher Primary training that complies with Indonesia's National Education Standards (SNPT), which our digital kits explicitly support.</w:t>
      </w:r>
    </w:p>
    <w:p>
      <w:pPr>
        <w:numPr>
          <w:ilvl w:val="0"/>
          <w:numId w:val="1002"/>
        </w:numPr>
        <w:pStyle w:val="Compact"/>
      </w:pPr>
      <w:r>
        <w:rPr>
          <w:bCs/>
          <w:b/>
        </w:rPr>
        <w:t xml:space="preserve">Digital Literacy Gap:</w:t>
      </w:r>
      <w:r>
        <w:t xml:space="preserve"> </w:t>
      </w:r>
      <w:r>
        <w:t xml:space="preserve">68% of Jakarta primary schools report insufficient training for Teacher Primary on EdTech integration (Ministry of Education Survey, Q2 2023).</w:t>
      </w:r>
    </w:p>
    <w:p>
      <w:pPr>
        <w:numPr>
          <w:ilvl w:val="0"/>
          <w:numId w:val="1002"/>
        </w:numPr>
        <w:pStyle w:val="Compact"/>
      </w:pPr>
      <w:r>
        <w:rPr>
          <w:bCs/>
          <w:b/>
        </w:rPr>
        <w:t xml:space="preserve">Parental Demand:</w:t>
      </w:r>
      <w:r>
        <w:t xml:space="preserve"> </w:t>
      </w:r>
      <w:r>
        <w:t xml:space="preserve">Jakarta parents now prioritize schools offering "smart classrooms" – a feature our solutions provide through teacher training modules.</w:t>
      </w:r>
    </w:p>
    <w:p>
      <w:pPr>
        <w:pStyle w:val="FirstParagraph"/>
      </w:pPr>
      <w:r>
        <w:t xml:space="preserve">Critically, our success in Indonesia Jakarta stems from understanding local nuances:</w:t>
      </w:r>
    </w:p>
    <w:p>
      <w:pPr>
        <w:numPr>
          <w:ilvl w:val="0"/>
          <w:numId w:val="1003"/>
        </w:numPr>
        <w:pStyle w:val="Compact"/>
      </w:pPr>
      <w:r>
        <w:t xml:space="preserve">Content localization for Bahasa Indonesia curriculum (e.g., math problems using Jakarta-specific examples like "Jalan Sudirman traffic patterns").</w:t>
      </w:r>
    </w:p>
    <w:p>
      <w:pPr>
        <w:numPr>
          <w:ilvl w:val="0"/>
          <w:numId w:val="1003"/>
        </w:numPr>
        <w:pStyle w:val="Compact"/>
      </w:pPr>
      <w:r>
        <w:t xml:space="preserve">Flexible payment plans accommodating Jakarta's school budget cycles (aligned with Ministry of Finance fiscal quarters).</w:t>
      </w:r>
    </w:p>
    <w:p>
      <w:pPr>
        <w:numPr>
          <w:ilvl w:val="0"/>
          <w:numId w:val="1003"/>
        </w:numPr>
        <w:pStyle w:val="Compact"/>
      </w:pPr>
      <w:r>
        <w:t xml:space="preserve">On-ground support from our 12-person Jakarta-based Teacher Primary Specialist team.</w:t>
      </w:r>
    </w:p>
    <w:bookmarkEnd w:id="24"/>
    <w:bookmarkStart w:id="25" w:name="X2d04e6fe5e68522f67dcc9ee02292ae6f2dcd5c"/>
    <w:p>
      <w:pPr>
        <w:pStyle w:val="Heading2"/>
      </w:pPr>
      <w:r>
        <w:t xml:space="preserve">IV. Challenges in Indonesia Jakarta Market</w:t>
      </w:r>
    </w:p>
    <w:p>
      <w:pPr>
        <w:pStyle w:val="FirstParagraph"/>
      </w:pPr>
      <w:r>
        <w:t xml:space="preserve">Despite strong growth, we faced significant hurdles during Q3:</w:t>
      </w:r>
    </w:p>
    <w:p>
      <w:pPr>
        <w:numPr>
          <w:ilvl w:val="0"/>
          <w:numId w:val="1004"/>
        </w:numPr>
        <w:pStyle w:val="Compact"/>
      </w:pPr>
      <w:r>
        <w:rPr>
          <w:bCs/>
          <w:b/>
        </w:rPr>
        <w:t xml:space="preserve">Competition from Local Providers:</w:t>
      </w:r>
      <w:r>
        <w:t xml:space="preserve"> </w:t>
      </w:r>
      <w:r>
        <w:t xml:space="preserve">43% of schools initially quoted our pricing but selected cheaper local alternatives. Our counter-strategy involved demonstrating long-term cost savings through our Teacher Primary training (reducing teacher turnover by 27% in pilot schools).</w:t>
      </w:r>
    </w:p>
    <w:p>
      <w:pPr>
        <w:numPr>
          <w:ilvl w:val="0"/>
          <w:numId w:val="1004"/>
        </w:numPr>
        <w:pStyle w:val="Compact"/>
      </w:pPr>
      <w:r>
        <w:rPr>
          <w:bCs/>
          <w:b/>
        </w:rPr>
        <w:t xml:space="preserve">Logistical Barriers:</w:t>
      </w:r>
      <w:r>
        <w:t xml:space="preserve"> </w:t>
      </w:r>
      <w:r>
        <w:t xml:space="preserve">Traffic congestion in Jakarta delayed delivery to 19 schools. We resolved this by establishing a micro-warehouse in Cikarang, reducing on-time deliveries from 78% to 94%.</w:t>
      </w:r>
    </w:p>
    <w:p>
      <w:pPr>
        <w:numPr>
          <w:ilvl w:val="0"/>
          <w:numId w:val="1004"/>
        </w:numPr>
        <w:pStyle w:val="Compact"/>
      </w:pPr>
      <w:r>
        <w:rPr>
          <w:bCs/>
          <w:b/>
        </w:rPr>
        <w:t xml:space="preserve">Cultural Misalignment:</w:t>
      </w:r>
      <w:r>
        <w:t xml:space="preserve"> </w:t>
      </w:r>
      <w:r>
        <w:t xml:space="preserve">Early digital kits used Western teaching examples that confused Teacher Primary educators. Our team co-created localized content with Jakarta-based teachers, improving adoption rates by 36%.</w:t>
      </w:r>
    </w:p>
    <w:bookmarkEnd w:id="25"/>
    <w:bookmarkStart w:id="26" w:name="Xff5f2943eff12238f97e446559a13b9a4b54647"/>
    <w:p>
      <w:pPr>
        <w:pStyle w:val="Heading2"/>
      </w:pPr>
      <w:r>
        <w:t xml:space="preserve">V. Strategic Recommendations for Teacher Primary Expansion</w:t>
      </w:r>
    </w:p>
    <w:p>
      <w:pPr>
        <w:pStyle w:val="FirstParagraph"/>
      </w:pPr>
      <w:r>
        <w:t xml:space="preserve">To accelerate growth in Indonesia Jakarta, we propose:</w:t>
      </w:r>
    </w:p>
    <w:p>
      <w:pPr>
        <w:numPr>
          <w:ilvl w:val="0"/>
          <w:numId w:val="1005"/>
        </w:numPr>
        <w:pStyle w:val="Compact"/>
      </w:pPr>
      <w:r>
        <w:rPr>
          <w:bCs/>
          <w:b/>
        </w:rPr>
        <w:t xml:space="preserve">Deepen Teacher Primary Partnerships:</w:t>
      </w:r>
      <w:r>
        <w:t xml:space="preserve"> </w:t>
      </w:r>
      <w:r>
        <w:t xml:space="preserve">Co-develop certification programs with Jakarta's education universities (e.g., Universitas Pendidikan Indonesia) to provide accredited training for Teacher Primary staff. This addresses the critical need for formal recognition in Jakarta's teacher evaluation system.</w:t>
      </w:r>
    </w:p>
    <w:p>
      <w:pPr>
        <w:numPr>
          <w:ilvl w:val="0"/>
          <w:numId w:val="1005"/>
        </w:numPr>
        <w:pStyle w:val="Compact"/>
      </w:pPr>
      <w:r>
        <w:rPr>
          <w:bCs/>
          <w:b/>
        </w:rPr>
        <w:t xml:space="preserve">Leverage Community Networks:</w:t>
      </w:r>
      <w:r>
        <w:t xml:space="preserve"> </w:t>
      </w:r>
      <w:r>
        <w:t xml:space="preserve">Partner with influential Teacher Primary social media groups (e.g., "Guru SD Jakarta") for peer-to-peer advocacy – proven to increase conversion by 29% in pilot campaigns.</w:t>
      </w:r>
    </w:p>
    <w:p>
      <w:pPr>
        <w:numPr>
          <w:ilvl w:val="0"/>
          <w:numId w:val="1005"/>
        </w:numPr>
        <w:pStyle w:val="Compact"/>
      </w:pPr>
      <w:r>
        <w:rPr>
          <w:bCs/>
          <w:b/>
        </w:rPr>
        <w:t xml:space="preserve">Expand Rural Reach:</w:t>
      </w:r>
      <w:r>
        <w:t xml:space="preserve"> </w:t>
      </w:r>
      <w:r>
        <w:t xml:space="preserve">Target suburban schools in Bogor and Tangerang where 62% lack adequate Teacher Primary resources, using our mobile demo units that navigate Jakarta's traffic efficiently.</w:t>
      </w:r>
    </w:p>
    <w:p>
      <w:pPr>
        <w:numPr>
          <w:ilvl w:val="0"/>
          <w:numId w:val="1005"/>
        </w:numPr>
        <w:pStyle w:val="Compact"/>
      </w:pPr>
      <w:r>
        <w:rPr>
          <w:bCs/>
          <w:b/>
        </w:rPr>
        <w:t xml:space="preserve">Government Tender Focus:</w:t>
      </w:r>
      <w:r>
        <w:t xml:space="preserve"> </w:t>
      </w:r>
      <w:r>
        <w:t xml:space="preserve">Prioritize bids for Jakarta's "Digital School" initiative (budget: IDR 1.2 trillion), where Teacher Primary training is a mandatory requirement.</w:t>
      </w:r>
    </w:p>
    <w:bookmarkEnd w:id="26"/>
    <w:bookmarkStart w:id="27" w:name="vi.-conclusion"/>
    <w:p>
      <w:pPr>
        <w:pStyle w:val="Heading2"/>
      </w:pPr>
      <w:r>
        <w:t xml:space="preserve">VI. Conclusion</w:t>
      </w:r>
    </w:p>
    <w:p>
      <w:pPr>
        <w:pStyle w:val="FirstParagraph"/>
      </w:pPr>
      <w:r>
        <w:t xml:space="preserve">This Sales Report affirms that our Teacher Primary solutions have achieved transformative traction within Indonesia Jakarta's education ecosystem. The 48% revenue growth in Q3 demonstrates not only market demand but also the effectiveness of our localized approach for Teacher Primary educators. Crucially, we've moved beyond transactional sales to become a strategic partner in Jakarta's educational evolution – evidenced by our 82% retention rate with primary schools and expanding contracts across the region.</w:t>
      </w:r>
    </w:p>
    <w:p>
      <w:pPr>
        <w:pStyle w:val="BodyText"/>
      </w:pPr>
      <w:r>
        <w:t xml:space="preserve">As Indonesia Jakarta continues its digital education transformation under national policies, EduPro Indonesia is uniquely positioned to empower Teacher Primary professionals. Our next focus will be scaling the "Kelas Digital Guru" model to cover all 4,800+ Jakarta primary schools by 2025. We recommend allocating 35% of Q4 resources toward government tender preparations and teacher community engagement – ensuring sustained leadership in this critical market. The future of Teacher Primary education in Indonesia Jakarta is digital, collaborative, and deeply rooted in local context – and our Sales Report confirms we are leading this shift.</w:t>
      </w:r>
    </w:p>
    <w:p>
      <w:pPr>
        <w:pStyle w:val="BodyText"/>
      </w:pPr>
      <w:r>
        <w:rPr>
          <w:bCs/>
          <w:b/>
        </w:rPr>
        <w:t xml:space="preserve">Prepared by:</w:t>
      </w:r>
      <w:r>
        <w:t xml:space="preserve"> </w:t>
      </w:r>
      <w:r>
        <w:t xml:space="preserve">Arif Rahman</w:t>
      </w:r>
      <w:r>
        <w:br/>
      </w:r>
      <w:r>
        <w:rPr>
          <w:bCs/>
          <w:b/>
        </w:rPr>
        <w:t xml:space="preserve">Regional Director, EduPro Indonesia Jakarta</w:t>
      </w:r>
    </w:p>
    <w:p>
      <w:pPr>
        <w:pStyle w:val="BodyText"/>
      </w:pPr>
      <w:r>
        <w:rPr>
          <w:iCs/>
          <w:i/>
        </w:rPr>
        <w:t xml:space="preserve">This Sales Report complies with EduPro International's global standards for market intelligence. All data sourced from internal sales systems, Jakarta Education Office (Dinas Pendidikan DKI), and primary school surveys conducted between July-September 2023. Copyright © 2023 EduPro Indonesia Jakarta.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Sales Report - Indonesia Jakarta</dc:title>
  <dc:creator/>
  <dc:language>en</dc:language>
  <cp:keywords/>
  <dcterms:created xsi:type="dcterms:W3CDTF">2026-07-23T19:49:51Z</dcterms:created>
  <dcterms:modified xsi:type="dcterms:W3CDTF">2026-07-23T19:49:51Z</dcterms:modified>
</cp:coreProperties>
</file>

<file path=docProps/custom.xml><?xml version="1.0" encoding="utf-8"?>
<Properties xmlns="http://schemas.openxmlformats.org/officeDocument/2006/custom-properties" xmlns:vt="http://schemas.openxmlformats.org/officeDocument/2006/docPropsVTypes"/>
</file>