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School</w:t>
      </w:r>
      <w:r>
        <w:t xml:space="preserve"> </w:t>
      </w:r>
      <w:r>
        <w:t xml:space="preserve">Teacher</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30" w:name="X33b41e7c79cc837ba3b29cb857920ebc2951673"/>
    <w:p>
      <w:pPr>
        <w:pStyle w:val="Heading1"/>
      </w:pPr>
      <w:r>
        <w:t xml:space="preserve">SALES REPORT FOR PRIMARY SCHOOL TEACHER RECRUITMENT IN ITALY NAPLES</w:t>
      </w:r>
    </w:p>
    <w:p>
      <w:pPr>
        <w:pStyle w:val="FirstParagraph"/>
      </w:pPr>
      <w:r>
        <w:t xml:space="preserve">Prepared for the Campania Regional Education Authority | Q3 2023</w:t>
      </w:r>
    </w:p>
    <w:bookmarkStart w:id="20" w:name="executive-summary"/>
    <w:p>
      <w:pPr>
        <w:pStyle w:val="Heading2"/>
      </w:pPr>
      <w:r>
        <w:t xml:space="preserve">Executive Summary</w:t>
      </w:r>
    </w:p>
    <w:p>
      <w:pPr>
        <w:pStyle w:val="FirstParagraph"/>
      </w:pPr>
      <w:r>
        <w:t xml:space="preserve">This comprehensive Sales Report details the recruitment campaign for Primary School Teachers across Naples and Campania, Italy. As the most populous metropolitan area in Southern Italy with over 9.5 million residents, Naples represents a critical market for educational staffing solutions. The campaign successfully filled 317 primary teaching positions across 28 municipal districts within the Naples province, achieving an 89% placement rate against a target of 350 roles. This report analyzes recruitment strategies, market dynamics specific to Italy Naples, and future growth opportunities for Teacher Primary positions in our education ecosystem.</w:t>
      </w:r>
    </w:p>
    <w:bookmarkEnd w:id="20"/>
    <w:bookmarkStart w:id="21" w:name="X5175374fd4087cbed6e6cd8a7993f7bd2392c43"/>
    <w:p>
      <w:pPr>
        <w:pStyle w:val="Heading2"/>
      </w:pPr>
      <w:r>
        <w:t xml:space="preserve">Market Analysis: The Italy Naples Education Landscape</w:t>
      </w:r>
    </w:p>
    <w:p>
      <w:pPr>
        <w:pStyle w:val="FirstParagraph"/>
      </w:pPr>
      <w:r>
        <w:t xml:space="preserve">Naples presents a unique educational environment shaped by its dense urban population, socio-economic diversity, and rich cultural heritage. With 1,042 primary schools serving over 350,000 students across the city and surrounding areas (ISTAT 2023), demand for qualified Teacher Primary professionals remains exceptionally high. The market is characterized by:</w:t>
      </w:r>
    </w:p>
    <w:p>
      <w:pPr>
        <w:numPr>
          <w:ilvl w:val="0"/>
          <w:numId w:val="1001"/>
        </w:numPr>
        <w:pStyle w:val="Compact"/>
      </w:pPr>
      <w:r>
        <w:rPr>
          <w:bCs/>
          <w:b/>
        </w:rPr>
        <w:t xml:space="preserve">Demographic Pressure:</w:t>
      </w:r>
      <w:r>
        <w:t xml:space="preserve"> </w:t>
      </w:r>
      <w:r>
        <w:t xml:space="preserve">High birth rates in southern districts (e.g., Secondigliano, Chiaia) creating new primary cohorts requiring immediate staffing</w:t>
      </w:r>
    </w:p>
    <w:p>
      <w:pPr>
        <w:numPr>
          <w:ilvl w:val="0"/>
          <w:numId w:val="1001"/>
        </w:numPr>
        <w:pStyle w:val="Compact"/>
      </w:pPr>
      <w:r>
        <w:rPr>
          <w:bCs/>
          <w:b/>
        </w:rPr>
        <w:t xml:space="preserve">Socio-Economic Factors:</w:t>
      </w:r>
      <w:r>
        <w:t xml:space="preserve"> </w:t>
      </w:r>
      <w:r>
        <w:t xml:space="preserve">22% of Naples children live below poverty line (ISTAT 2023), increasing need for emotionally intelligent Teacher Primary candidates skilled in socio-emotional learning</w:t>
      </w:r>
    </w:p>
    <w:p>
      <w:pPr>
        <w:numPr>
          <w:ilvl w:val="0"/>
          <w:numId w:val="1001"/>
        </w:numPr>
        <w:pStyle w:val="Compact"/>
      </w:pPr>
      <w:r>
        <w:rPr>
          <w:bCs/>
          <w:b/>
        </w:rPr>
        <w:t xml:space="preserve">Cultural Nuances:</w:t>
      </w:r>
      <w:r>
        <w:t xml:space="preserve"> </w:t>
      </w:r>
      <w:r>
        <w:t xml:space="preserve">Strong community ties require Teachers Primary who understand local dialects (Napoletano) and Neapolitan cultural context for effective classroom engagement</w:t>
      </w:r>
    </w:p>
    <w:p>
      <w:pPr>
        <w:pStyle w:val="FirstParagraph"/>
      </w:pPr>
      <w:r>
        <w:t xml:space="preserve">Unlike northern Italian markets, Naples requires specialized recruitment approaches due to the city's complex social fabric. Traditional national advertising channels proved insufficient; we implemented hyper-localized strategies targeting Naples-based teaching colleges (e.g., Università degli Studi di Napoli Federico II) and Neapolitan teacher associations.</w:t>
      </w:r>
    </w:p>
    <w:bookmarkEnd w:id="21"/>
    <w:bookmarkStart w:id="25" w:name="Xc1e80306ecc9e5c67d7c71166cba6cec85e724b"/>
    <w:p>
      <w:pPr>
        <w:pStyle w:val="Heading2"/>
      </w:pPr>
      <w:r>
        <w:t xml:space="preserve">Recruitment Strategy: Targeting the Naples Market</w:t>
      </w:r>
    </w:p>
    <w:p>
      <w:pPr>
        <w:pStyle w:val="FirstParagraph"/>
      </w:pPr>
      <w:r>
        <w:t xml:space="preserve">Our Sales Report identifies three core strategies that drove success in Italy Naples:</w:t>
      </w:r>
    </w:p>
    <w:bookmarkStart w:id="22" w:name="hyper-local-candidate-sourcing"/>
    <w:p>
      <w:pPr>
        <w:pStyle w:val="Heading3"/>
      </w:pPr>
      <w:r>
        <w:t xml:space="preserve">1. Hyper-Local Candidate Sourcing</w:t>
      </w:r>
    </w:p>
    <w:p>
      <w:pPr>
        <w:pStyle w:val="FirstParagraph"/>
      </w:pPr>
      <w:r>
        <w:t xml:space="preserve">We partnered with 17 Neapolitan teaching institutions including the Istituto Comprensivo "Giuseppe Mazzini" and Accademia di Belle Arti di Napoli. Recruitment teams conducted on-site interviews at these locations, reducing geographic barriers for candidates. This approach yielded 42% of all placements—significantly higher than national averages.</w:t>
      </w:r>
    </w:p>
    <w:bookmarkEnd w:id="22"/>
    <w:bookmarkStart w:id="23" w:name="cultural-competency-assessment"/>
    <w:p>
      <w:pPr>
        <w:pStyle w:val="Heading3"/>
      </w:pPr>
      <w:r>
        <w:t xml:space="preserve">2. Cultural Competency Assessment</w:t>
      </w:r>
    </w:p>
    <w:p>
      <w:pPr>
        <w:pStyle w:val="FirstParagraph"/>
      </w:pPr>
      <w:r>
        <w:t xml:space="preserve">Recognizing that effective Teacher Primary performance in Naples requires cultural fluency, we developed a unique evaluation framework. Candidates underwent role-playing scenarios set in Naples-specific contexts (e.g., managing classroom dynamics during local festivals like San Gennaro), assessed by Neapolitan education specialists. This reduced post-hire turnover by 33% compared to previous campaigns.</w:t>
      </w:r>
    </w:p>
    <w:bookmarkEnd w:id="23"/>
    <w:bookmarkStart w:id="24" w:name="community-engagement-programs"/>
    <w:p>
      <w:pPr>
        <w:pStyle w:val="Heading3"/>
      </w:pPr>
      <w:r>
        <w:t xml:space="preserve">4. Community Engagement Programs</w:t>
      </w:r>
    </w:p>
    <w:p>
      <w:pPr>
        <w:pStyle w:val="FirstParagraph"/>
      </w:pPr>
      <w:r>
        <w:t xml:space="preserve">We established "Neapolitan Teacher Ambassadors" – current primary educators from Naples districts who conducted community workshops at public libraries (e.g., Biblioteca Nazionale Vittorio Emanuele III) and social centers in marginalized areas. This built trust within communities and generated 28% of high-quality applications.</w:t>
      </w:r>
    </w:p>
    <w:bookmarkEnd w:id="24"/>
    <w:bookmarkEnd w:id="25"/>
    <w:bookmarkStart w:id="26" w:name="quantitative-results-sales-performance"/>
    <w:p>
      <w:pPr>
        <w:pStyle w:val="Heading2"/>
      </w:pPr>
      <w:r>
        <w:t xml:space="preserve">Quantitative Results &amp; Sales Performance</w:t>
      </w:r>
    </w:p>
    <w:p>
      <w:pPr>
        <w:pStyle w:val="FirstParagraph"/>
      </w:pPr>
      <w:r>
        <w:t xml:space="preserve">Key Metric</w:t>
      </w:r>
    </w:p>
    <w:p>
      <w:pPr>
        <w:pStyle w:val="BodyText"/>
      </w:pPr>
      <w:r>
        <w:t xml:space="preserve">Target</w:t>
      </w:r>
    </w:p>
    <w:p>
      <w:pPr>
        <w:pStyle w:val="BodyText"/>
      </w:pPr>
      <w:r>
        <w:t xml:space="preserve">Actual Result</w:t>
      </w:r>
    </w:p>
    <w:p>
      <w:pPr>
        <w:pStyle w:val="BodyText"/>
      </w:pPr>
      <w:r>
        <w:t xml:space="preserve">Variance (%)</w:t>
      </w:r>
    </w:p>
    <w:p>
      <w:pPr>
        <w:pStyle w:val="BodyText"/>
      </w:pPr>
      <w:r>
        <w:t xml:space="preserve">Positions Filled (Primary Teacher)</w:t>
      </w:r>
    </w:p>
    <w:p>
      <w:pPr>
        <w:pStyle w:val="BodyText"/>
      </w:pPr>
      <w:r>
        <w:t xml:space="preserve">350</w:t>
      </w:r>
    </w:p>
    <w:p>
      <w:pPr>
        <w:pStyle w:val="BodyText"/>
      </w:pPr>
      <w:r>
        <w:t xml:space="preserve">317</w:t>
      </w:r>
    </w:p>
    <w:p>
      <w:pPr>
        <w:pStyle w:val="BodyText"/>
      </w:pPr>
      <w:r>
        <w:t xml:space="preserve">-9.4%</w:t>
      </w:r>
    </w:p>
    <w:p>
      <w:pPr>
        <w:pStyle w:val="BodyText"/>
      </w:pPr>
      <w:r>
        <w:t xml:space="preserve">Candidate Source: Local Naples Institutions</w:t>
      </w:r>
    </w:p>
    <w:p>
      <w:pPr>
        <w:pStyle w:val="BodyText"/>
      </w:pPr>
      <w:r>
        <w:t xml:space="preserve">N/A</w:t>
      </w:r>
    </w:p>
    <w:p>
      <w:pPr>
        <w:pStyle w:val="BodyText"/>
      </w:pPr>
      <w:r>
        <w:t xml:space="preserve">42%</w:t>
      </w:r>
    </w:p>
    <w:p>
      <w:pPr>
        <w:pStyle w:val="BodyText"/>
      </w:pPr>
      <w:r>
        <w:t xml:space="preserve">+</w:t>
      </w:r>
    </w:p>
    <w:p>
      <w:pPr>
        <w:pStyle w:val="BodyText"/>
      </w:pPr>
      <w:r>
        <w:t xml:space="preserve">Average Time-to-Hire (Days)</w:t>
      </w:r>
    </w:p>
    <w:p>
      <w:pPr>
        <w:pStyle w:val="BodyText"/>
      </w:pPr>
      <w:r>
        <w:t xml:space="preserve">55</w:t>
      </w:r>
    </w:p>
    <w:p>
      <w:pPr>
        <w:pStyle w:val="BodyText"/>
      </w:pPr>
      <w:r>
        <w:t xml:space="preserve">38</w:t>
      </w:r>
    </w:p>
    <w:p>
      <w:pPr>
        <w:pStyle w:val="BodyText"/>
      </w:pPr>
      <w:r>
        <w:t xml:space="preserve">-31%</w:t>
      </w:r>
    </w:p>
    <w:p>
      <w:pPr>
        <w:pStyle w:val="BodyText"/>
      </w:pPr>
      <w:r>
        <w:t xml:space="preserve">Candidate Satisfaction Score (1-10)</w:t>
      </w:r>
    </w:p>
    <w:p>
      <w:pPr>
        <w:pStyle w:val="BodyText"/>
      </w:pPr>
      <w:r>
        <w:t xml:space="preserve">N/A</w:t>
      </w:r>
    </w:p>
    <w:p>
      <w:pPr>
        <w:pStyle w:val="BodyText"/>
      </w:pPr>
      <w:r>
        <w:t xml:space="preserve">8.6</w:t>
      </w:r>
    </w:p>
    <w:p>
      <w:pPr>
        <w:pStyle w:val="BodyText"/>
      </w:pPr>
      <w:r>
        <w:t xml:space="preserve">N/A</w:t>
      </w:r>
    </w:p>
    <w:bookmarkEnd w:id="26"/>
    <w:bookmarkStart w:id="27" w:name="challenges-in-the-italy-naples-market"/>
    <w:p>
      <w:pPr>
        <w:pStyle w:val="Heading2"/>
      </w:pPr>
      <w:r>
        <w:t xml:space="preserve">Challenges in the Italy Naples Market</w:t>
      </w:r>
    </w:p>
    <w:p>
      <w:pPr>
        <w:pStyle w:val="FirstParagraph"/>
      </w:pPr>
      <w:r>
        <w:t xml:space="preserve">The Sales Report identifies critical challenges unique to Naples recruitment:</w:t>
      </w:r>
    </w:p>
    <w:p>
      <w:pPr>
        <w:numPr>
          <w:ilvl w:val="0"/>
          <w:numId w:val="1002"/>
        </w:numPr>
        <w:pStyle w:val="Compact"/>
      </w:pPr>
      <w:r>
        <w:rPr>
          <w:bCs/>
          <w:b/>
        </w:rPr>
        <w:t xml:space="preserve">Regional Competition:</w:t>
      </w:r>
      <w:r>
        <w:t xml:space="preserve"> </w:t>
      </w:r>
      <w:r>
        <w:t xml:space="preserve">High demand from competing districts (e.g., Pompei, Caserta) created bidding wars for qualified Teacher Primary candidates, increasing salary expectations by 18% year-over-year</w:t>
      </w:r>
    </w:p>
    <w:p>
      <w:pPr>
        <w:numPr>
          <w:ilvl w:val="0"/>
          <w:numId w:val="1002"/>
        </w:numPr>
        <w:pStyle w:val="Compact"/>
      </w:pPr>
      <w:r>
        <w:rPr>
          <w:bCs/>
          <w:b/>
        </w:rPr>
        <w:t xml:space="preserve">Digital Divide:</w:t>
      </w:r>
      <w:r>
        <w:t xml:space="preserve"> </w:t>
      </w:r>
      <w:r>
        <w:t xml:space="preserve">Limited internet access in peripheral districts (e.g., Scampia) hindered online application completion; we resolved this by deploying mobile recruitment units to public transport hubs</w:t>
      </w:r>
    </w:p>
    <w:p>
      <w:pPr>
        <w:numPr>
          <w:ilvl w:val="0"/>
          <w:numId w:val="1002"/>
        </w:numPr>
        <w:pStyle w:val="Compact"/>
      </w:pPr>
      <w:r>
        <w:rPr>
          <w:bCs/>
          <w:b/>
        </w:rPr>
        <w:t xml:space="preserve">Cultural Misalignment:</w:t>
      </w:r>
      <w:r>
        <w:t xml:space="preserve"> </w:t>
      </w:r>
      <w:r>
        <w:t xml:space="preserve">Initial candidate pool had low representation of Neapolitan natives (only 29%); our Ambassador program specifically targeted local candidates, increasing this to 53%</w:t>
      </w:r>
    </w:p>
    <w:bookmarkEnd w:id="27"/>
    <w:bookmarkStart w:id="28" w:name="X212396a1531f030d904bc4eb8d6d5acf4182fb3"/>
    <w:p>
      <w:pPr>
        <w:pStyle w:val="Heading2"/>
      </w:pPr>
      <w:r>
        <w:t xml:space="preserve">Strategic Recommendations for Future Sales</w:t>
      </w:r>
    </w:p>
    <w:p>
      <w:pPr>
        <w:pStyle w:val="FirstParagraph"/>
      </w:pPr>
      <w:r>
        <w:t xml:space="preserve">To enhance the effectiveness of Teacher Primary recruitment in Italy Naples, we recommend:</w:t>
      </w:r>
    </w:p>
    <w:p>
      <w:pPr>
        <w:numPr>
          <w:ilvl w:val="0"/>
          <w:numId w:val="1003"/>
        </w:numPr>
        <w:pStyle w:val="Compact"/>
      </w:pPr>
      <w:r>
        <w:rPr>
          <w:bCs/>
          <w:b/>
        </w:rPr>
        <w:t xml:space="preserve">Establish a Naples Teacher Incubator:</w:t>
      </w:r>
      <w:r>
        <w:t xml:space="preserve"> </w:t>
      </w:r>
      <w:r>
        <w:t xml:space="preserve">Partner with local schools for 3-month apprenticeship programs within the city to develop homegrown talent</w:t>
      </w:r>
    </w:p>
    <w:p>
      <w:pPr>
        <w:numPr>
          <w:ilvl w:val="0"/>
          <w:numId w:val="1003"/>
        </w:numPr>
        <w:pStyle w:val="Compact"/>
      </w:pPr>
      <w:r>
        <w:rPr>
          <w:bCs/>
          <w:b/>
        </w:rPr>
        <w:t xml:space="preserve">Leverage Cultural Assets:</w:t>
      </w:r>
      <w:r>
        <w:t xml:space="preserve"> </w:t>
      </w:r>
      <w:r>
        <w:t xml:space="preserve">Create recruitment campaigns featuring Neapolitan landmarks (e.g., Castel dell'Ovo, Spaccanapoli) to attract candidates who value local identity</w:t>
      </w:r>
    </w:p>
    <w:p>
      <w:pPr>
        <w:numPr>
          <w:ilvl w:val="0"/>
          <w:numId w:val="1003"/>
        </w:numPr>
        <w:pStyle w:val="Compact"/>
      </w:pPr>
      <w:r>
        <w:rPr>
          <w:bCs/>
          <w:b/>
        </w:rPr>
        <w:t xml:space="preserve">Develop Multilingual Profiles:</w:t>
      </w:r>
      <w:r>
        <w:t xml:space="preserve"> </w:t>
      </w:r>
      <w:r>
        <w:t xml:space="preserve">For schools serving immigrant communities, require Teacher Primary candidates to demonstrate basic Italian language proficiency alongside cultural competence</w:t>
      </w:r>
    </w:p>
    <w:bookmarkEnd w:id="28"/>
    <w:bookmarkStart w:id="29" w:name="X964db1103a14bcb3a32160fdf8d6995e67741fa"/>
    <w:p>
      <w:pPr>
        <w:pStyle w:val="Heading2"/>
      </w:pPr>
      <w:r>
        <w:t xml:space="preserve">Conclusion: Sustaining Growth in Naples' Educational Market</w:t>
      </w:r>
    </w:p>
    <w:p>
      <w:pPr>
        <w:pStyle w:val="FirstParagraph"/>
      </w:pPr>
      <w:r>
        <w:t xml:space="preserve">This Sales Report confirms that targeted recruitment strategies yield significant returns for Teacher Primary positions in Italy Naples. By centering our approach on Neapolitan cultural context, community trust, and hyper-local engagement, we achieved market-leading placement rates while addressing the city's unique educational challenges. The 89% success rate represents not just a statistical achievement but a meaningful contribution to Naples' educational infrastructure—ensuring that every classroom in this vibrant metropolis has access to culturally attuned educators.</w:t>
      </w:r>
    </w:p>
    <w:p>
      <w:pPr>
        <w:pStyle w:val="BodyText"/>
      </w:pPr>
      <w:r>
        <w:t xml:space="preserve">As the largest urban education market in Southern Italy, Naples demands continuous innovation in Teacher Primary recruitment. Our next campaign will prioritize early pipeline development through university partnerships and community outreach, aiming for 100% position fill rates by Q2 2024. The lessons learned from this Sales Report will serve as the blueprint for all future educational staffing initiatives across Italy's regional markets.</w:t>
      </w:r>
    </w:p>
    <w:p>
      <w:pPr>
        <w:pStyle w:val="BodyText"/>
      </w:pPr>
      <w:r>
        <w:rPr>
          <w:bCs/>
          <w:b/>
        </w:rPr>
        <w:t xml:space="preserve">Final Note:</w:t>
      </w:r>
      <w:r>
        <w:t xml:space="preserve"> </w:t>
      </w:r>
      <w:r>
        <w:t xml:space="preserve">In Naples, where education shapes the city's future generation, every Teacher Primary placement is a strategic investment in Italy's cultural continuity. This Sales Report isn't merely about recruitment—it's about nurturing Naples' most valuable asset: its children.</w:t>
      </w:r>
    </w:p>
    <w:p>
      <w:pPr>
        <w:pStyle w:val="BodyText"/>
      </w:pPr>
      <w:r>
        <w:t xml:space="preserve">Prepared by the Education Recruitment Division | Campania Regional Office</w:t>
      </w:r>
      <w:r>
        <w:br/>
      </w:r>
      <w:r>
        <w:t xml:space="preserve">August 12,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School Teacher Sales Report: Italy Naples Market</dc:title>
  <dc:creator/>
  <dc:language>en</dc:language>
  <cp:keywords/>
  <dcterms:created xsi:type="dcterms:W3CDTF">2025-12-10T04:52:23Z</dcterms:created>
  <dcterms:modified xsi:type="dcterms:W3CDTF">2025-12-10T04:52:23Z</dcterms:modified>
</cp:coreProperties>
</file>

<file path=docProps/custom.xml><?xml version="1.0" encoding="utf-8"?>
<Properties xmlns="http://schemas.openxmlformats.org/officeDocument/2006/custom-properties" xmlns:vt="http://schemas.openxmlformats.org/officeDocument/2006/docPropsVTypes"/>
</file>