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</w:p>
    <w:p>
      <w:pPr>
        <w:pStyle w:val="FirstParagraph"/>
      </w:pPr>
      <w:r>
        <w:t xml:space="preserve">Comprehensive Sales Report for Primary Teacher Recruitment in Osaka Market</w:t>
      </w:r>
    </w:p>
    <w:bookmarkStart w:id="20" w:name="X738200f1b2b318bc25844161e609bcc4b27c79b"/>
    <w:p>
      <w:pPr>
        <w:pStyle w:val="Heading2"/>
      </w:pPr>
      <w:r>
        <w:t xml:space="preserve">Executive Summary: Strategic Positioning in Osaka's Educational Landscape</w:t>
      </w:r>
    </w:p>
    <w:p>
      <w:pPr>
        <w:pStyle w:val="FirstParagraph"/>
      </w:pPr>
      <w:r>
        <w:t xml:space="preserve">This report details the performance of our specialized Primary Teacher recruitment services across Osaka Prefecture for Q1-Q3 2024. As Japan's economic hub with over 18 million residents and a rapidly evolving education system, Osaka presents unique opportunities for premium Primary Teacher placements. Our sales strategy has focused exclusively on connecting certified educators with schools requiring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professionals across public and private institutions in Osaka. This report confirms a 37% year-over-year growth in successful placements, positioning us as the leading recruitment partner for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roles throughout Osaka.</w:t>
      </w:r>
    </w:p>
    <w:p>
      <w:pPr>
        <w:pStyle w:val="BodyText"/>
      </w:pPr>
      <w:r>
        <w:t xml:space="preserve">The Japanese government's recent educational reforms emphasizing child-centered learning have intensified demand for qualified Primary Teachers in Osaka. With 52% of schools reporting staffing shortages in core elementary subjects (Ministry of Education, 2023), our specialized approach to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recruitment has achieved remarkable traction. This report validates our market strategy targeting Osaka's distinct educational needs while maintaining compliance with Japanese certification standards.</w:t>
      </w:r>
    </w:p>
    <w:bookmarkEnd w:id="20"/>
    <w:bookmarkStart w:id="21" w:name="market-analysis-demand-drivers-in-osaka"/>
    <w:p>
      <w:pPr>
        <w:pStyle w:val="Heading2"/>
      </w:pPr>
      <w:r>
        <w:t xml:space="preserve">Market Analysis: Demand Drivers in Osaka</w:t>
      </w:r>
    </w:p>
    <w:p>
      <w:pPr>
        <w:pStyle w:val="FirstParagraph"/>
      </w:pPr>
      <w:r>
        <w:t xml:space="preserve">Osaka's education market demonstrates three critical demand patterns influencing our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sales performance: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Osaka's declining school-age population (down 7.2% since 2015) has concentrated demand in high-quality schools, creating premium opportunities for certified Primary Teachers.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Innovations:</w:t>
      </w:r>
      <w:r>
        <w:t xml:space="preserve"> </w:t>
      </w:r>
      <w:r>
        <w:t xml:space="preserve">New Japanese education policies mandating English immersion and STEM integration have increased demand for specialized Primary Teachers with bilingual capabilities (especially English-Japanese).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Urbanization Pressures:</w:t>
      </w:r>
      <w:r>
        <w:t xml:space="preserve"> </w:t>
      </w:r>
      <w:r>
        <w:t xml:space="preserve">As Osaka's population density grows, private schools in central districts (Namba, Umeda) now offer 32% higher salaries to attract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candidates.</w:t>
      </w:r>
    </w:p>
    <w:p>
      <w:pPr>
        <w:pStyle w:val="FirstParagraph"/>
      </w:pPr>
      <w:r>
        <w:t xml:space="preserve">This market dynamic directly supports our sales positioning: "Premium Placement for Osaka's Next-Generation Primary Educators." Our sales team has successfully converted 68% of initial inquiries into placements through tailored messaging addressing Osaka-specific challenges like commuting patterns and school culture adaptation.</w:t>
      </w:r>
    </w:p>
    <w:bookmarkEnd w:id="21"/>
    <w:bookmarkStart w:id="22" w:name="sales-performance-metrics-q1-q3-2024"/>
    <w:p>
      <w:pPr>
        <w:pStyle w:val="Heading2"/>
      </w:pPr>
      <w:r>
        <w:t xml:space="preserve">Sales Performance Metrics (Q1-Q3 2024)</w:t>
      </w:r>
    </w:p>
    <w:p>
      <w:pPr>
        <w:pStyle w:val="FirstParagraph"/>
      </w:pPr>
      <w:r>
        <w:t xml:space="preserve">Key Metric</w:t>
      </w:r>
    </w:p>
    <w:bookmarkEnd w:id="22"/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t xml:space="preserve">New School Partnerships in Osaka</w:t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+72.7%</w:t>
      </w:r>
    </w:p>
    <w:p>
      <w:pPr>
        <w:pStyle w:val="BodyText"/>
      </w:pPr>
      <w:r>
        <w:t xml:space="preserve">Primary Teacher Placements (Osaka)</w:t>
      </w:r>
    </w:p>
    <w:p>
      <w:pPr>
        <w:pStyle w:val="BodyText"/>
      </w:pPr>
      <w:r>
        <w:t xml:space="preserve">48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35</w:t>
      </w:r>
      <w:r>
        <w:t xml:space="preserve">+37.1%</w:t>
      </w:r>
    </w:p>
    <w:p>
      <w:pPr>
        <w:pStyle w:val="BodyText"/>
      </w:pPr>
      <w:r>
        <w:t xml:space="preserve">Average Placement Salary (JPY)</w:t>
      </w:r>
    </w:p>
    <w:p>
      <w:pPr>
        <w:pStyle w:val="BodyText"/>
      </w:pPr>
      <w:r>
        <w:t xml:space="preserve">4,250,000</w:t>
      </w:r>
    </w:p>
    <w:p>
      <w:pPr>
        <w:pStyle w:val="BodyText"/>
      </w:pPr>
      <w:r>
        <w:t xml:space="preserve">3,980,000</w:t>
      </w:r>
    </w:p>
    <w:p>
      <w:pPr>
        <w:pStyle w:val="BodyText"/>
      </w:pPr>
      <w:r>
        <w:t xml:space="preserve">+6.8%</w:t>
      </w:r>
    </w:p>
    <w:p>
      <w:pPr>
        <w:pStyle w:val="BodyText"/>
      </w:pPr>
      <w:r>
        <w:t xml:space="preserve">Candidate Conversion Rate</w:t>
      </w:r>
    </w:p>
    <w:p>
      <w:pPr>
        <w:pStyle w:val="BodyText"/>
      </w:pPr>
      <w:r>
        <w:t xml:space="preserve">71%63%</w:t>
      </w:r>
      <w:r>
        <w:t xml:space="preserve">+8.0 pts</w:t>
      </w:r>
    </w:p>
    <w:p>
      <w:pPr>
        <w:pStyle w:val="BodyText"/>
      </w:pPr>
      <w:r>
        <w:t xml:space="preserve">Notable achievements include securing the largest-ever contract with Osaka Municipal Education Board for Primary Teacher placements, and successfully placing 14 educators in Namba International School's new STEM-focused elementary program. Our sales team achieved these results by developing Osaka-specific onboarding protocols that address cultural nuances – particularly crucial for foreign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candidates adapting to Japan's "kyōiku" (education) culture.</w:t>
      </w:r>
    </w:p>
    <w:bookmarkStart w:id="26" w:name="X6887b1fc7fd87d062e6afdc385bcadab4429d87"/>
    <w:p>
      <w:pPr>
        <w:pStyle w:val="Heading2"/>
      </w:pPr>
      <w:r>
        <w:t xml:space="preserve">Regional Sales Strategy: Osaka-Specific Tactics</w:t>
      </w:r>
    </w:p>
    <w:p>
      <w:pPr>
        <w:pStyle w:val="FirstParagraph"/>
      </w:pPr>
      <w:r>
        <w:t xml:space="preserve">Our success in Osaka stems from hyper-localized sales execution:</w:t>
      </w:r>
    </w:p>
    <w:bookmarkStart w:id="23" w:name="school-centric-relationship-building"/>
    <w:p>
      <w:pPr>
        <w:pStyle w:val="Heading3"/>
      </w:pPr>
      <w:r>
        <w:t xml:space="preserve">1. School-Centric Relationship Building</w:t>
      </w:r>
    </w:p>
    <w:p>
      <w:pPr>
        <w:pStyle w:val="FirstParagraph"/>
      </w:pPr>
      <w:r>
        <w:t xml:space="preserve">We conducted 47 site visits to Osaka schools (vs. 19 in Tokyo) to understand district-specific needs. For instance, schools in Kita Ward require teachers with bilingual skills for international programs, while South Osaka institutions prioritize candidates experienced with large-classroom management.</w:t>
      </w:r>
    </w:p>
    <w:bookmarkEnd w:id="23"/>
    <w:bookmarkStart w:id="24" w:name="cultural-integration-sales-approach"/>
    <w:p>
      <w:pPr>
        <w:pStyle w:val="Heading3"/>
      </w:pPr>
      <w:r>
        <w:t xml:space="preserve">2. Cultural Integration Sales Approach</w:t>
      </w:r>
    </w:p>
    <w:p>
      <w:pPr>
        <w:pStyle w:val="FirstParagraph"/>
      </w:pPr>
      <w:r>
        <w:t xml:space="preserve">Unlike national campaigns, we developed Osaka-focused sales materials highlighting:</w:t>
      </w:r>
    </w:p>
    <w:p>
      <w:pPr>
        <w:numPr>
          <w:ilvl w:val="0"/>
          <w:numId w:val="1002"/>
        </w:numPr>
        <w:pStyle w:val="Compact"/>
      </w:pPr>
      <w:r>
        <w:t xml:space="preserve">"Osaka-style classroom engagement" techniques (emphasizing student interaction over rote learning)</w:t>
      </w:r>
    </w:p>
    <w:p>
      <w:pPr>
        <w:numPr>
          <w:ilvl w:val="0"/>
          <w:numId w:val="1002"/>
        </w:numPr>
        <w:pStyle w:val="Compact"/>
      </w:pPr>
      <w:r>
        <w:t xml:space="preserve">Compliance with Osaka's unique teacher evaluation metrics</w:t>
      </w:r>
    </w:p>
    <w:p>
      <w:pPr>
        <w:numPr>
          <w:ilvl w:val="0"/>
          <w:numId w:val="1002"/>
        </w:numPr>
        <w:pStyle w:val="Compact"/>
      </w:pPr>
      <w:r>
        <w:t xml:space="preserve">Local support systems for foreign educators (including Osaka Prefecture's "Gaijin Support Center")</w:t>
      </w:r>
    </w:p>
    <w:bookmarkEnd w:id="24"/>
    <w:bookmarkStart w:id="25" w:name="strategic-partnerships-in-osaka"/>
    <w:p>
      <w:pPr>
        <w:pStyle w:val="Heading3"/>
      </w:pPr>
      <w:r>
        <w:t xml:space="preserve">3. Strategic Partnerships in Osaka</w:t>
      </w:r>
    </w:p>
    <w:p>
      <w:pPr>
        <w:pStyle w:val="FirstParagraph"/>
      </w:pPr>
      <w:r>
        <w:t xml:space="preserve">We established formal partnerships with:</w:t>
      </w:r>
    </w:p>
    <w:p>
      <w:pPr>
        <w:numPr>
          <w:ilvl w:val="0"/>
          <w:numId w:val="1003"/>
        </w:numPr>
        <w:pStyle w:val="Compact"/>
      </w:pPr>
      <w:r>
        <w:t xml:space="preserve">Osaka University's Teacher Training Program (for domestic candidates)</w:t>
      </w:r>
    </w:p>
    <w:p>
      <w:pPr>
        <w:numPr>
          <w:ilvl w:val="0"/>
          <w:numId w:val="1003"/>
        </w:numPr>
        <w:pStyle w:val="Compact"/>
      </w:pPr>
      <w:r>
        <w:t xml:space="preserve">Japan Association for International Education (JAIE) Osaka Chapter</w:t>
      </w:r>
    </w:p>
    <w:p>
      <w:pPr>
        <w:numPr>
          <w:ilvl w:val="0"/>
          <w:numId w:val="1003"/>
        </w:numPr>
        <w:pStyle w:val="Compact"/>
      </w:pPr>
      <w:r>
        <w:t xml:space="preserve">Kansai Foreigner Support Network (for visa/immigration support)</w:t>
      </w:r>
    </w:p>
    <w:p>
      <w:pPr>
        <w:pStyle w:val="FirstParagraph"/>
      </w:pPr>
      <w:r>
        <w:t xml:space="preserve">This localized strategy reduced candidate onboarding time by 42% in Osaka compared to national averages, directly boosting our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sales conversion rates.</w:t>
      </w:r>
    </w:p>
    <w:bookmarkEnd w:id="25"/>
    <w:bookmarkEnd w:id="26"/>
    <w:bookmarkStart w:id="29" w:name="challenges-and-adaptive-solutions"/>
    <w:p>
      <w:pPr>
        <w:pStyle w:val="Heading2"/>
      </w:pPr>
      <w:r>
        <w:t xml:space="preserve">Challenges and Adaptive Solutions</w:t>
      </w:r>
    </w:p>
    <w:bookmarkStart w:id="27" w:name="X30cb720b26a26d474baf78cd4ca19291b4f9d5c"/>
    <w:p>
      <w:pPr>
        <w:pStyle w:val="Heading3"/>
      </w:pPr>
      <w:r>
        <w:t xml:space="preserve">Challenge: Visa Processing Delays for International Teachers</w:t>
      </w:r>
    </w:p>
    <w:p>
      <w:pPr>
        <w:pStyle w:val="FirstParagraph"/>
      </w:pPr>
      <w:r>
        <w:t xml:space="preserve">The Osaka Immigration Bureau's 45-day processing standard created placement bottlenecks. Our sales team responded by:</w:t>
      </w:r>
    </w:p>
    <w:p>
      <w:pPr>
        <w:numPr>
          <w:ilvl w:val="0"/>
          <w:numId w:val="1004"/>
        </w:numPr>
        <w:pStyle w:val="Compact"/>
      </w:pPr>
      <w:r>
        <w:t xml:space="preserve">Developing a "Pre-Placement Visa Package" with dedicated immigration support</w:t>
      </w:r>
    </w:p>
    <w:p>
      <w:pPr>
        <w:numPr>
          <w:ilvl w:val="0"/>
          <w:numId w:val="1004"/>
        </w:numPr>
        <w:pStyle w:val="Compact"/>
      </w:pPr>
      <w:r>
        <w:t xml:space="preserve">Partnering with Osaka-based legal firms (e.g., Fujita Law Office) for expedited processing</w:t>
      </w:r>
    </w:p>
    <w:bookmarkEnd w:id="27"/>
    <w:bookmarkStart w:id="28" w:name="Xa433e3dcfe49405c0e93912e432d310cbe26b50"/>
    <w:p>
      <w:pPr>
        <w:pStyle w:val="Heading3"/>
      </w:pPr>
      <w:r>
        <w:t xml:space="preserve">Challenge: Cultural Misalignment in Candidate Screening</w:t>
      </w:r>
    </w:p>
    <w:p>
      <w:pPr>
        <w:pStyle w:val="FirstParagraph"/>
      </w:pPr>
      <w:r>
        <w:t xml:space="preserve">Initial candidate interviews failed to assess Osaka-specific classroom dynamics. Solution:</w:t>
      </w:r>
    </w:p>
    <w:p>
      <w:pPr>
        <w:numPr>
          <w:ilvl w:val="0"/>
          <w:numId w:val="1005"/>
        </w:numPr>
        <w:pStyle w:val="Compact"/>
      </w:pPr>
      <w:r>
        <w:t xml:space="preserve">Creating Osaka-based mock teaching scenarios for candidate evaluation</w:t>
      </w:r>
    </w:p>
    <w:p>
      <w:pPr>
        <w:numPr>
          <w:ilvl w:val="0"/>
          <w:numId w:val="1005"/>
        </w:numPr>
        <w:pStyle w:val="Compact"/>
      </w:pPr>
      <w:r>
        <w:t xml:space="preserve">Training sales team on Kansai dialect nuances in communication</w:t>
      </w:r>
    </w:p>
    <w:p>
      <w:pPr>
        <w:pStyle w:val="FirstParagraph"/>
      </w:pPr>
      <w:r>
        <w:t xml:space="preserve">These adaptations increased successful placements by 31% in Osaka-specific school districts.</w:t>
      </w:r>
    </w:p>
    <w:bookmarkEnd w:id="28"/>
    <w:bookmarkEnd w:id="29"/>
    <w:bookmarkStart w:id="30" w:name="Xfa345558d459e54260c9235828472358be24af3"/>
    <w:p>
      <w:pPr>
        <w:pStyle w:val="Heading2"/>
      </w:pPr>
      <w:r>
        <w:t xml:space="preserve">Forward-Looking Strategy: Scaling Primary Teacher Sales in Osaka</w:t>
      </w:r>
    </w:p>
    <w:p>
      <w:pPr>
        <w:pStyle w:val="FirstParagraph"/>
      </w:pPr>
      <w:r>
        <w:t xml:space="preserve">For Q4 2024 and beyond, we will implement three growth initiatives directly targeting Osaka's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Teacher Network Launch:</w:t>
      </w:r>
      <w:r>
        <w:t xml:space="preserve"> </w:t>
      </w:r>
      <w:r>
        <w:t xml:space="preserve">Creating a private community for current Primary Teachers in Osaka to share cultural insights, increasing retention rates and referral opportunities.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STEM-Enhanced Recruitment:</w:t>
      </w:r>
      <w:r>
        <w:t xml:space="preserve"> </w:t>
      </w:r>
      <w:r>
        <w:t xml:space="preserve">Developing specialized packages for schools requiring Primary Teachers with STEM qualifications (targeting 25 new placements in Osaka by March 2025).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Sales Expansion:</w:t>
      </w:r>
      <w:r>
        <w:t xml:space="preserve"> </w:t>
      </w:r>
      <w:r>
        <w:t xml:space="preserve">Adding dedicated Osaka sales staff to handle the city's complex school district requirements (currently served remotely from Tokyo).</w:t>
      </w:r>
    </w:p>
    <w:p>
      <w:pPr>
        <w:pStyle w:val="FirstParagraph"/>
      </w:pPr>
      <w:r>
        <w:t xml:space="preserve">These initiatives align with Osaka Prefecture's 2030 Education Vision, which prioritizes teacher quality over quantity. Our projections indicate a potential 52% market share growth in Osaka primary placements by Q4 2025.</w:t>
      </w:r>
    </w:p>
    <w:bookmarkEnd w:id="30"/>
    <w:p>
      <w:pPr>
        <w:pStyle w:val="BodyText"/>
      </w:pPr>
      <w:r>
        <w:t xml:space="preserve">Prepared for Osaka Educational Partners Group | Confidential Sales Report | October 15, 2024</w:t>
      </w:r>
    </w:p>
    <w:p>
      <w:pPr>
        <w:pStyle w:val="BodyText"/>
      </w:pPr>
      <w:r>
        <w:t xml:space="preserve">Primary Teacher recruitment represents the cornerstone of our Japan market strategy. Our Osaka-focused approach demonstrates how specialized understanding of regional educational needs drives superior sales performance.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Teacher Sales Performance Report: Osaka Market</dc:title>
  <dc:creator/>
  <dc:language>en</dc:language>
  <cp:keywords/>
  <dcterms:created xsi:type="dcterms:W3CDTF">2025-12-11T15:57:24Z</dcterms:created>
  <dcterms:modified xsi:type="dcterms:W3CDTF">2025-12-11T15:57:24Z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