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Almaty,</w:t>
      </w:r>
      <w:r>
        <w:t xml:space="preserve"> </w:t>
      </w:r>
      <w:r>
        <w:t xml:space="preserve">Kazakhstan</w:t>
      </w:r>
    </w:p>
    <w:bookmarkStart w:id="35" w:name="Xb658aeae7730099ece8fa841f119c16a038e3df"/>
    <w:p>
      <w:pPr>
        <w:pStyle w:val="Heading1"/>
      </w:pPr>
      <w:r>
        <w:t xml:space="preserve">Sales Report: Primary Education Sector Performance Analysis for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Asian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educational solutions targeting Primary Teachers across Kazakhstan's largest urban center, Almaty. The quarter demonstrated robust growth in demand for specialized teaching resources and professional development programs, with Almaty emerging as a critical market driver for our primary education portfolio. Total sales reached $428,000 (a 27% quarterly increase), driven by unprecedented adoption of our Teacher Primary certification modules and digital curriculum tools. This momentum positions us to capture 18% market share in Almaty's primary school resource sector by Q4 2023.</w:t>
      </w:r>
    </w:p>
    <w:bookmarkEnd w:id="20"/>
    <w:bookmarkStart w:id="21" w:name="Xf95b9d8e347028c1aef2932cf1b9f0dcb26a55c"/>
    <w:p>
      <w:pPr>
        <w:pStyle w:val="Heading2"/>
      </w:pPr>
      <w:r>
        <w:t xml:space="preserve">II. Market Context: Primary Education in Kazakhstan Almaty</w:t>
      </w:r>
    </w:p>
    <w:p>
      <w:pPr>
        <w:pStyle w:val="FirstParagraph"/>
      </w:pPr>
      <w:r>
        <w:t xml:space="preserve">Almaty, as Kazakhstan's economic capital and educational hub, hosts over 85% of the country's primary schools serving approximately 185,000 students. The Ministry of Education's 2023 National Curriculum Modernization Program prioritizes teacher development for foundational education (ages 6-11), creating a $6.4M annual market opportunity for Teacher Primary solutions in Almaty alone. Recent policy shifts mandate digital literacy training for all primary educators by 2025, directly aligning with our product suite. The city's competitive landscape features 47 educational technology providers, but our localized approach to Kazakhstan's pedagogical standards has yielded significant differentiation.</w:t>
      </w:r>
    </w:p>
    <w:bookmarkEnd w:id="21"/>
    <w:bookmarkStart w:id="24" w:name="iii.-sales-performance-breakdown"/>
    <w:p>
      <w:pPr>
        <w:pStyle w:val="Heading2"/>
      </w:pPr>
      <w:r>
        <w:t xml:space="preserve">III. Sales Performance Breakdown</w:t>
      </w:r>
    </w:p>
    <w:bookmarkStart w:id="22" w:name="a.-product-category-performance"/>
    <w:p>
      <w:pPr>
        <w:pStyle w:val="Heading3"/>
      </w:pPr>
      <w:r>
        <w:t xml:space="preserve">A. 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Teacher Primary Digital Curriculum Packs (Kazakh/Russian)</w:t>
            </w:r>
          </w:p>
        </w:tc>
        <w:tc>
          <w:tcPr/>
          <w:p>
            <w:pPr>
              <w:pStyle w:val="Compact"/>
              <w:jc w:val="left"/>
            </w:pPr>
            <w:r>
              <w:t xml:space="preserve">215,000</w:t>
            </w:r>
          </w:p>
        </w:tc>
        <w:tc>
          <w:tcPr/>
          <w:p>
            <w:pPr>
              <w:pStyle w:val="Compact"/>
              <w:jc w:val="left"/>
            </w:pPr>
            <w:r>
              <w:t xml:space="preserve">50.2%</w:t>
            </w:r>
          </w:p>
        </w:tc>
        <w:tc>
          <w:tcPr/>
          <w:p>
            <w:pPr>
              <w:pStyle w:val="Compact"/>
              <w:jc w:val="left"/>
            </w:pPr>
            <w:r>
              <w:t xml:space="preserve">+34%</w:t>
            </w:r>
          </w:p>
        </w:tc>
      </w:tr>
      <w:tr>
        <w:tc>
          <w:tcPr/>
          <w:p>
            <w:pPr>
              <w:pStyle w:val="Compact"/>
              <w:jc w:val="left"/>
            </w:pPr>
            <w:r>
              <w:t xml:space="preserve">Professional Development Certification Modules</w:t>
            </w:r>
          </w:p>
        </w:tc>
        <w:tc>
          <w:tcPr/>
          <w:p>
            <w:pPr>
              <w:pStyle w:val="Compact"/>
              <w:jc w:val="left"/>
            </w:pPr>
            <w:r>
              <w:t xml:space="preserve">148,000</w:t>
            </w:r>
          </w:p>
        </w:tc>
        <w:tc>
          <w:tcPr/>
          <w:p>
            <w:pPr>
              <w:pStyle w:val="Compact"/>
              <w:jc w:val="left"/>
            </w:pPr>
            <w:r>
              <w:t xml:space="preserve">% of Total</w:t>
            </w:r>
          </w:p>
        </w:tc>
        <w:tc>
          <w:tcPr/>
          <w:p>
            <w:pPr>
              <w:pStyle w:val="Compact"/>
              <w:jc w:val="left"/>
            </w:pPr>
            <w:r>
              <w:t xml:space="preserve">YoY Change</w:t>
            </w:r>
          </w:p>
        </w:tc>
      </w:tr>
    </w:tbl>
    <w:p>
      <w:pPr>
        <w:pStyle w:val="BodyText"/>
      </w:pPr>
      <w:r>
        <w:rPr>
          <w:bCs/>
          <w:b/>
        </w:rPr>
        <w:t xml:space="preserve">Key Insight:</w:t>
      </w:r>
      <w:r>
        <w:t xml:space="preserve"> </w:t>
      </w:r>
      <w:r>
        <w:t xml:space="preserve">The Teacher Primary Digital Curriculum Packs dominated sales, with 72% of purchases coming from Almaty public schools participating in the "New Generation Schools" initiative. Our bilingual (Kazakh/Russian) content directly addresses the Ministry's language policy requirements.</w:t>
      </w:r>
    </w:p>
    <w:bookmarkEnd w:id="22"/>
    <w:bookmarkStart w:id="23" w:name="b.-regional-sales-distribution"/>
    <w:p>
      <w:pPr>
        <w:pStyle w:val="Heading3"/>
      </w:pPr>
      <w:r>
        <w:t xml:space="preserve">B. Regional Sales Distribution</w:t>
      </w:r>
    </w:p>
    <w:p>
      <w:pPr>
        <w:numPr>
          <w:ilvl w:val="0"/>
          <w:numId w:val="1001"/>
        </w:numPr>
        <w:pStyle w:val="Compact"/>
      </w:pPr>
      <w:r>
        <w:rPr>
          <w:bCs/>
          <w:b/>
        </w:rPr>
        <w:t xml:space="preserve">Almaty City:</w:t>
      </w:r>
      <w:r>
        <w:t xml:space="preserve"> </w:t>
      </w:r>
      <w:r>
        <w:t xml:space="preserve">$298,000 (69.6% of total sales)</w:t>
      </w:r>
    </w:p>
    <w:p>
      <w:pPr>
        <w:numPr>
          <w:ilvl w:val="0"/>
          <w:numId w:val="1001"/>
        </w:numPr>
        <w:pStyle w:val="Compact"/>
      </w:pPr>
      <w:r>
        <w:rPr>
          <w:bCs/>
          <w:b/>
        </w:rPr>
        <w:t xml:space="preserve">Almaty Region (Rural Areas):</w:t>
      </w:r>
      <w:r>
        <w:t xml:space="preserve"> </w:t>
      </w:r>
      <w:r>
        <w:t xml:space="preserve">$112,000 (26.2%)</w:t>
      </w:r>
    </w:p>
    <w:p>
      <w:pPr>
        <w:numPr>
          <w:ilvl w:val="0"/>
          <w:numId w:val="1001"/>
        </w:numPr>
        <w:pStyle w:val="Compact"/>
      </w:pPr>
      <w:r>
        <w:rPr>
          <w:bCs/>
          <w:b/>
        </w:rPr>
        <w:t xml:space="preserve">Nur-Sultan/Other Cities:</w:t>
      </w:r>
      <w:r>
        <w:t xml:space="preserve"> </w:t>
      </w:r>
      <w:r>
        <w:t xml:space="preserve">$18,000 (4.2%)</w:t>
      </w:r>
    </w:p>
    <w:p>
      <w:pPr>
        <w:pStyle w:val="FirstParagraph"/>
      </w:pPr>
      <w:r>
        <w:t xml:space="preserve">The concentration in Almaty underscores the city's role as the primary market for Teacher Primary solutions. Over 63% of Almaty schools purchased at least one product during Q3.</w:t>
      </w:r>
    </w:p>
    <w:bookmarkEnd w:id="23"/>
    <w:bookmarkEnd w:id="24"/>
    <w:bookmarkStart w:id="28" w:name="Xedc7097f46e88d03324e3724e53b6c6615685d1"/>
    <w:p>
      <w:pPr>
        <w:pStyle w:val="Heading2"/>
      </w:pPr>
      <w:r>
        <w:t xml:space="preserve">IV. Strategic Initiatives Driving Success</w:t>
      </w:r>
    </w:p>
    <w:bookmarkStart w:id="25" w:name="X3406e47f92da2696b00b74a4854d95bb0afb2e1"/>
    <w:p>
      <w:pPr>
        <w:pStyle w:val="Heading3"/>
      </w:pPr>
      <w:r>
        <w:t xml:space="preserve">A. Partnership with Almaty Education Department</w:t>
      </w:r>
    </w:p>
    <w:p>
      <w:pPr>
        <w:pStyle w:val="FirstParagraph"/>
      </w:pPr>
      <w:r>
        <w:t xml:space="preserve">We secured a landmark $150,000 contract for Teacher Primary certification training at 42 Almaty municipal schools. This initiative, launched in August 2023, provided hands-on pedagogy workshops aligned with Kazakhstan's new "Digital Classroom" standards. The partnership generated 37 referrals to other school districts and established our solution as the preferred vendor for official teacher development.</w:t>
      </w:r>
    </w:p>
    <w:bookmarkEnd w:id="25"/>
    <w:bookmarkStart w:id="26" w:name="X84345e7875c6472770a0f7a8701884803e6a324"/>
    <w:p>
      <w:pPr>
        <w:pStyle w:val="Heading3"/>
      </w:pPr>
      <w:r>
        <w:t xml:space="preserve">B. Localization of Teacher Primary Content</w:t>
      </w:r>
    </w:p>
    <w:p>
      <w:pPr>
        <w:pStyle w:val="FirstParagraph"/>
      </w:pPr>
      <w:r>
        <w:t xml:space="preserve">Our Q2 content refresh introduced Kazakh cultural scenarios into lesson plans (e.g., "Math in the Silk Road Marketplace" activities) and included local assessment benchmarks. This localization drove a 41% increase in cross-selling to Almaty schools compared to non-localized products.</w:t>
      </w:r>
    </w:p>
    <w:bookmarkEnd w:id="26"/>
    <w:bookmarkStart w:id="27" w:name="X2aed6ba5419caa822873bc00e03cc56fd6c0d36"/>
    <w:p>
      <w:pPr>
        <w:pStyle w:val="Heading3"/>
      </w:pPr>
      <w:r>
        <w:t xml:space="preserve">C. Teacher Primary Digital Platform Adoption</w:t>
      </w:r>
    </w:p>
    <w:p>
      <w:pPr>
        <w:pStyle w:val="FirstParagraph"/>
      </w:pPr>
      <w:r>
        <w:t xml:space="preserve">The launch of our mobile-first Teacher Primary platform (supporting offline functionality for low-bandwidth areas) achieved 92% user retention in Almaty schools. The app's "Lesson Planner" feature reduced preparation time by 40%, with positive testimonials from 118 primary teachers across the city.</w:t>
      </w:r>
    </w:p>
    <w:bookmarkEnd w:id="27"/>
    <w:bookmarkEnd w:id="28"/>
    <w:bookmarkStart w:id="31" w:name="v.-market-challenges-opportunities"/>
    <w:p>
      <w:pPr>
        <w:pStyle w:val="Heading2"/>
      </w:pPr>
      <w:r>
        <w:t xml:space="preserve">V. Market Challenges &amp; Opportunities</w:t>
      </w:r>
    </w:p>
    <w:bookmarkStart w:id="29" w:name="Xbbbdc59ecb55bab94a3a389cb7c2d5ffc8bdfb1"/>
    <w:p>
      <w:pPr>
        <w:pStyle w:val="Heading3"/>
      </w:pPr>
      <w:r>
        <w:t xml:space="preserve">Challenge: Infrastructure Gaps in Almaty Districts</w:t>
      </w:r>
    </w:p>
    <w:p>
      <w:pPr>
        <w:pStyle w:val="FirstParagraph"/>
      </w:pPr>
      <w:r>
        <w:t xml:space="preserve">While central Almaty schools have robust internet connectivity, some districts (particularly Shymkent and Auezov) struggle with digital access. This limits adoption of our cloud-based Teacher Primary tools. Solution: We're piloting offline USB drives containing full curriculum packs in 15 schools, with a 30% conversion rate from trial to purchase.</w:t>
      </w:r>
    </w:p>
    <w:bookmarkEnd w:id="29"/>
    <w:bookmarkStart w:id="30" w:name="opportunity-teacher-shortage-crisis"/>
    <w:p>
      <w:pPr>
        <w:pStyle w:val="Heading3"/>
      </w:pPr>
      <w:r>
        <w:t xml:space="preserve">Opportunity: Teacher Shortage Crisis</w:t>
      </w:r>
    </w:p>
    <w:p>
      <w:pPr>
        <w:pStyle w:val="FirstParagraph"/>
      </w:pPr>
      <w:r>
        <w:t xml:space="preserve">Kazakhstan faces a 12% primary teacher deficit (World Bank, 2023), creating urgency for efficient training. Our Q4 focus will be on "Rapid Certification" packages targeting new graduates, with a $65K pilot program already signed with Almaty's Pedagogical University.</w:t>
      </w:r>
    </w:p>
    <w:bookmarkEnd w:id="30"/>
    <w:bookmarkEnd w:id="31"/>
    <w:bookmarkStart w:id="32" w:name="vi.-competitive-landscape-analysis"/>
    <w:p>
      <w:pPr>
        <w:pStyle w:val="Heading2"/>
      </w:pPr>
      <w:r>
        <w:t xml:space="preserve">VI. Competitive Landscape Analysis</w:t>
      </w:r>
    </w:p>
    <w:p>
      <w:pPr>
        <w:pStyle w:val="FirstParagraph"/>
      </w:pPr>
      <w:r>
        <w:t xml:space="preserve">Our differentiation in Kazakhstan Almaty market hinges on three pillars:</w:t>
      </w:r>
    </w:p>
    <w:p>
      <w:pPr>
        <w:numPr>
          <w:ilvl w:val="0"/>
          <w:numId w:val="1002"/>
        </w:numPr>
        <w:pStyle w:val="Compact"/>
      </w:pPr>
      <w:r>
        <w:rPr>
          <w:bCs/>
          <w:b/>
        </w:rPr>
        <w:t xml:space="preserve">Policy Alignment:</w:t>
      </w:r>
      <w:r>
        <w:t xml:space="preserve"> </w:t>
      </w:r>
      <w:r>
        <w:t xml:space="preserve">100% of our content meets Ministry of Education's 2023 Primary Teacher Competency Framework</w:t>
      </w:r>
    </w:p>
    <w:p>
      <w:pPr>
        <w:numPr>
          <w:ilvl w:val="0"/>
          <w:numId w:val="1002"/>
        </w:numPr>
        <w:pStyle w:val="Compact"/>
      </w:pPr>
      <w:r>
        <w:rPr>
          <w:bCs/>
          <w:b/>
        </w:rPr>
        <w:t xml:space="preserve">Cultural Relevance:</w:t>
      </w:r>
      <w:r>
        <w:t xml:space="preserve"> </w:t>
      </w:r>
      <w:r>
        <w:t xml:space="preserve">Unlike competitors offering generic Western curricula, our materials feature Kazakh folktales and local geography</w:t>
      </w:r>
    </w:p>
    <w:p>
      <w:pPr>
        <w:numPr>
          <w:ilvl w:val="0"/>
          <w:numId w:val="1002"/>
        </w:numPr>
        <w:pStyle w:val="Compact"/>
      </w:pPr>
      <w:r>
        <w:rPr>
          <w:bCs/>
          <w:b/>
        </w:rPr>
        <w:t xml:space="preserve">Implementation Support:</w:t>
      </w:r>
      <w:r>
        <w:t xml:space="preserve"> </w:t>
      </w:r>
      <w:r>
        <w:t xml:space="preserve">Dedicated Almaty-based support staff (7 teachers on payroll) for school onboarding</w:t>
      </w:r>
    </w:p>
    <w:p>
      <w:pPr>
        <w:pStyle w:val="FirstParagraph"/>
      </w:pPr>
      <w:r>
        <w:t xml:space="preserve">This strategy has reduced churn by 22% compared to regional competitors.</w:t>
      </w:r>
    </w:p>
    <w:bookmarkEnd w:id="32"/>
    <w:bookmarkStart w:id="33" w:name="vii.-future-outlook-q4-2023-beyond"/>
    <w:p>
      <w:pPr>
        <w:pStyle w:val="Heading2"/>
      </w:pPr>
      <w:r>
        <w:t xml:space="preserve">VII. Future Outlook: Q4 2023 &amp; Beyond</w:t>
      </w:r>
    </w:p>
    <w:p>
      <w:pPr>
        <w:pStyle w:val="FirstParagraph"/>
      </w:pPr>
      <w:r>
        <w:t xml:space="preserve">Based on current traction, we project:</w:t>
      </w:r>
    </w:p>
    <w:p>
      <w:pPr>
        <w:numPr>
          <w:ilvl w:val="0"/>
          <w:numId w:val="1003"/>
        </w:numPr>
        <w:pStyle w:val="Compact"/>
      </w:pPr>
      <w:r>
        <w:t xml:space="preserve">$515,000 in Q4 sales (an additional 19% growth)</w:t>
      </w:r>
    </w:p>
    <w:p>
      <w:pPr>
        <w:numPr>
          <w:ilvl w:val="0"/>
          <w:numId w:val="1003"/>
        </w:numPr>
        <w:pStyle w:val="Compact"/>
      </w:pPr>
      <w:r>
        <w:t xml:space="preserve">Expansion to 78 Almaty schools (from 42 in Q3)</w:t>
      </w:r>
    </w:p>
    <w:p>
      <w:pPr>
        <w:numPr>
          <w:ilvl w:val="0"/>
          <w:numId w:val="1003"/>
        </w:numPr>
        <w:pStyle w:val="Compact"/>
      </w:pPr>
      <w:r>
        <w:t xml:space="preserve">Establishment of Teacher Primary "Almaty Ambassador" program with top-performing educators</w:t>
      </w:r>
    </w:p>
    <w:p>
      <w:pPr>
        <w:pStyle w:val="FirstParagraph"/>
      </w:pPr>
      <w:r>
        <w:t xml:space="preserve">The Kazakhstan Almaty market represents our most promising growth engine in Central Asia. As the Ministry accelerates its digital education roadmap, our Teacher Primary solutions are positioned for 50% market share leadership in urban primary schools by 2025. We recommend doubling down on localized content development and expanding the Almaty support team from 7 to 14 staff members to meet demand.</w:t>
      </w:r>
    </w:p>
    <w:bookmarkEnd w:id="33"/>
    <w:bookmarkStart w:id="34" w:name="viii.-conclusion"/>
    <w:p>
      <w:pPr>
        <w:pStyle w:val="Heading2"/>
      </w:pPr>
      <w:r>
        <w:t xml:space="preserve">VIII. Conclusion</w:t>
      </w:r>
    </w:p>
    <w:p>
      <w:pPr>
        <w:pStyle w:val="FirstParagraph"/>
      </w:pPr>
      <w:r>
        <w:t xml:space="preserve">The Q3 Sales Report confirms that our Teacher Primary products are meeting a critical need in Kazakhstan's educational ecosystem, with Almaty serving as the catalyst for national expansion. Our success stems from deep understanding of local pedagogical requirements and strategic alignment with government priorities. As we move into 2024, the Almaty market will remain central to our operations - not just as a sales territory, but as the proving ground for solutions that will transform primary education across Kazakhstan.</w:t>
      </w:r>
    </w:p>
    <w:p>
      <w:pPr>
        <w:pStyle w:val="BodyText"/>
      </w:pPr>
      <w:r>
        <w:rPr>
          <w:bCs/>
          <w:b/>
        </w:rPr>
        <w:t xml:space="preserve">Prepared By:</w:t>
      </w:r>
      <w:r>
        <w:t xml:space="preserve"> </w:t>
      </w:r>
      <w:r>
        <w:t xml:space="preserve">Central Asian Sales Operations Team</w:t>
      </w:r>
      <w:r>
        <w:br/>
      </w:r>
      <w:r>
        <w:rPr>
          <w:bCs/>
          <w:b/>
        </w:rPr>
        <w:t xml:space="preserve">Contact:</w:t>
      </w:r>
      <w:r>
        <w:t xml:space="preserve"> </w:t>
      </w:r>
      <w:r>
        <w:t xml:space="preserve">asia.sales@edukaz.kz | +7 (727)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 Almaty, Kazakhstan</dc:title>
  <dc:creator/>
  <dc:language>en</dc:language>
  <cp:keywords/>
  <dcterms:created xsi:type="dcterms:W3CDTF">2026-07-23T20:57:00Z</dcterms:created>
  <dcterms:modified xsi:type="dcterms:W3CDTF">2026-07-23T20:57:00Z</dcterms:modified>
</cp:coreProperties>
</file>

<file path=docProps/custom.xml><?xml version="1.0" encoding="utf-8"?>
<Properties xmlns="http://schemas.openxmlformats.org/officeDocument/2006/custom-properties" xmlns:vt="http://schemas.openxmlformats.org/officeDocument/2006/docPropsVTypes"/>
</file>