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r>
        <w:t xml:space="preserve"> </w:t>
      </w:r>
      <w:r>
        <w:t xml:space="preserve">Market</w:t>
      </w:r>
    </w:p>
    <w:bookmarkStart w:id="30" w:name="X43cb5fbf7f841242951c6d32d120a3bbe56bbfd"/>
    <w:p>
      <w:pPr>
        <w:pStyle w:val="Heading1"/>
      </w:pPr>
      <w:r>
        <w:t xml:space="preserve">Comprehensive Sales Report: Teacher Primary Educational Solutions in Mexico City</w:t>
      </w:r>
    </w:p>
    <w:bookmarkStart w:id="20" w:name="executive-summary"/>
    <w:p>
      <w:pPr>
        <w:pStyle w:val="Heading2"/>
      </w:pPr>
      <w:r>
        <w:t xml:space="preserve">Executive Summary</w:t>
      </w:r>
    </w:p>
    <w:p>
      <w:pPr>
        <w:pStyle w:val="FirstParagraph"/>
      </w:pPr>
      <w:r>
        <w:t xml:space="preserve">This report presents the comprehensive sales analysis for Teacher Primary, a leading educational resource provider specializing in curriculum-aligned teaching materials for primary school educators. The focus of this document is specifically on market performance within Mexico City, Mexico—the nation's largest educational hub and cultural epicenter. Over the past fiscal year (2023-2024), Teacher Primary achieved remarkable growth in Mexico City, demonstrating a 37% YoY sales increase and capturing 18.5% market share among primary education suppliers in the region. This success underscores Teacher Primary's strategic alignment with Mexico City's evolving educational priorities and its commitment to empowering educators across the metropolis.</w:t>
      </w:r>
    </w:p>
    <w:bookmarkEnd w:id="20"/>
    <w:bookmarkStart w:id="21" w:name="X6077f46b22e3a0583f484151b0cae43a7c81b70"/>
    <w:p>
      <w:pPr>
        <w:pStyle w:val="Heading2"/>
      </w:pPr>
      <w:r>
        <w:t xml:space="preserve">Market Context: Mexico City Educational Landscape</w:t>
      </w:r>
    </w:p>
    <w:p>
      <w:pPr>
        <w:pStyle w:val="FirstParagraph"/>
      </w:pPr>
      <w:r>
        <w:t xml:space="preserve">As the capital of Mexico and home to over 9 million residents, Mexico City represents a complex yet critical market for educational innovation. With 1,436 public primary schools (INEGI 2023) and a growing private sector demanding quality pedagogical tools, Teacher Primary has positioned itself as an indispensable partner for educators navigating Mexico's national education reform (Programa Nacional de Educación Básica). The city's unique challenges—urban diversity, varying socioeconomic conditions across neighborhoods (from Coyoacán to Iztapalapa), and high teacher turnover rates—have shaped our product development. Teacher Primary responds by offering localized content that aligns with both federal curricula and Mexico City's specific cultural context, including bilingual materials for indigenous communities and digital resources addressing urban classroom dynamics.</w:t>
      </w:r>
    </w:p>
    <w:bookmarkEnd w:id="21"/>
    <w:bookmarkStart w:id="22" w:name="X3882c8250523e92557ee5d6491fdacc7d6e76d2"/>
    <w:p>
      <w:pPr>
        <w:pStyle w:val="Heading2"/>
      </w:pPr>
      <w:r>
        <w:t xml:space="preserve">Sales Performance Highlights (Mexico City, 2023-2024)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Revenue (MXN)</w:t>
            </w:r>
          </w:p>
        </w:tc>
        <w:tc>
          <w:tcPr/>
          <w:p>
            <w:pPr>
              <w:pStyle w:val="Compact"/>
              <w:jc w:val="left"/>
            </w:pPr>
            <w:r>
              <w:t xml:space="preserve">% Growth vs 2022</w:t>
            </w:r>
          </w:p>
        </w:tc>
      </w:tr>
      <w:tr>
        <w:tc>
          <w:tcPr/>
          <w:p>
            <w:pPr>
              <w:pStyle w:val="Compact"/>
              <w:jc w:val="left"/>
            </w:pPr>
            <w:r>
              <w:t xml:space="preserve">Digital Resource Kits (Classroom Apps)</w:t>
            </w:r>
          </w:p>
        </w:tc>
        <w:tc>
          <w:tcPr/>
          <w:p>
            <w:pPr>
              <w:pStyle w:val="Compact"/>
              <w:jc w:val="left"/>
            </w:pPr>
            <w:r>
              <w:t xml:space="preserve">14,850</w:t>
            </w:r>
          </w:p>
        </w:tc>
        <w:tc>
          <w:tcPr/>
          <w:p>
            <w:pPr>
              <w:pStyle w:val="Compact"/>
              <w:jc w:val="left"/>
            </w:pPr>
            <w:r>
              <w:t xml:space="preserve">17,820,000</w:t>
            </w:r>
          </w:p>
        </w:tc>
        <w:tc>
          <w:tcPr/>
          <w:p>
            <w:pPr>
              <w:pStyle w:val="Compact"/>
              <w:jc w:val="left"/>
            </w:pPr>
            <w:r>
              <w:t xml:space="preserve">45%</w:t>
            </w:r>
          </w:p>
        </w:tc>
      </w:tr>
      <w:tr>
        <w:tc>
          <w:tcPr/>
          <w:p>
            <w:pPr>
              <w:pStyle w:val="Compact"/>
              <w:jc w:val="left"/>
            </w:pPr>
            <w:r>
              <w:t xml:space="preserve">Printed Activity Workbooks (Grades 1-6)</w:t>
            </w:r>
          </w:p>
        </w:tc>
        <w:tc>
          <w:tcPr>
            <w:gridSpan w:val="2"/>
          </w:tcPr>
          <w:p>
            <w:pPr>
              <w:pStyle w:val="Compact"/>
              <w:jc w:val="left"/>
            </w:pPr>
            <w:r>
              <w:t xml:space="preserve">12.3% growth with strong demand in southern boroughs</w:t>
            </w:r>
          </w:p>
        </w:tc>
        <w:tc>
          <w:tcPr/>
          <w:p>
            <w:pPr>
              <w:pStyle w:val="Compact"/>
            </w:pPr>
          </w:p>
        </w:tc>
      </w:tr>
      <w:tr>
        <w:tc>
          <w:tcPr/>
          <w:p>
            <w:pPr>
              <w:pStyle w:val="Compact"/>
              <w:jc w:val="left"/>
            </w:pPr>
            <w:r>
              <w:t xml:space="preserve">Teacher Training Workshops</w:t>
            </w:r>
          </w:p>
        </w:tc>
        <w:tc>
          <w:tcPr/>
          <w:p>
            <w:pPr>
              <w:pStyle w:val="Compact"/>
              <w:jc w:val="left"/>
            </w:pPr>
            <w:r>
              <w:t xml:space="preserve">2,450 sessions</w:t>
            </w:r>
          </w:p>
        </w:tc>
        <w:tc>
          <w:tcPr/>
          <w:p>
            <w:pPr>
              <w:pStyle w:val="Compact"/>
              <w:jc w:val="left"/>
            </w:pPr>
            <w:r>
              <w:t xml:space="preserve">8,785,000</w:t>
            </w:r>
          </w:p>
        </w:tc>
        <w:tc>
          <w:tcPr/>
          <w:p>
            <w:pPr>
              <w:pStyle w:val="Compact"/>
              <w:jc w:val="left"/>
            </w:pPr>
            <w:r>
              <w:t xml:space="preserve">31%</w:t>
            </w:r>
          </w:p>
        </w:tc>
      </w:tr>
      <w:tr>
        <w:tc>
          <w:tcPr/>
          <w:p>
            <w:pPr>
              <w:pStyle w:val="Compact"/>
              <w:jc w:val="left"/>
            </w:pPr>
            <w:r>
              <w:t xml:space="preserve">Total Sales (Mexico City)</w:t>
            </w:r>
          </w:p>
        </w:tc>
        <w:tc>
          <w:tcPr>
            <w:gridSpan w:val="2"/>
          </w:tcPr>
          <w:p>
            <w:pPr>
              <w:pStyle w:val="Compact"/>
              <w:jc w:val="left"/>
            </w:pPr>
            <w:r>
              <w:t xml:space="preserve">MXN 43,256,750</w:t>
            </w:r>
          </w:p>
        </w:tc>
        <w:tc>
          <w:tcPr/>
          <w:p>
            <w:pPr>
              <w:pStyle w:val="Compact"/>
              <w:jc w:val="left"/>
            </w:pPr>
            <w:r>
              <w:t xml:space="preserve">37% YoY growth</w:t>
            </w:r>
          </w:p>
        </w:tc>
      </w:tr>
    </w:tbl>
    <w:p>
      <w:pPr>
        <w:pStyle w:val="BodyText"/>
      </w:pPr>
      <w:r>
        <w:t xml:space="preserve">Key regional performance insights include:</w:t>
      </w:r>
    </w:p>
    <w:p>
      <w:pPr>
        <w:numPr>
          <w:ilvl w:val="0"/>
          <w:numId w:val="1001"/>
        </w:numPr>
        <w:pStyle w:val="Compact"/>
      </w:pPr>
      <w:r>
        <w:rPr>
          <w:bCs/>
          <w:b/>
        </w:rPr>
        <w:t xml:space="preserve">High-Performing Zones:</w:t>
      </w:r>
      <w:r>
        <w:t xml:space="preserve"> </w:t>
      </w:r>
      <w:r>
        <w:t xml:space="preserve">Tlalpan and Coyoacán showed 52% sales growth, driven by private school adoption. Public schools in Iztapalapa increased purchases by 29% through municipal education partnerships.</w:t>
      </w:r>
    </w:p>
    <w:p>
      <w:pPr>
        <w:numPr>
          <w:ilvl w:val="0"/>
          <w:numId w:val="1001"/>
        </w:numPr>
        <w:pStyle w:val="Compact"/>
      </w:pPr>
      <w:r>
        <w:rPr>
          <w:bCs/>
          <w:b/>
        </w:rPr>
        <w:t xml:space="preserve">Digital Adoption Surge:</w:t>
      </w:r>
      <w:r>
        <w:t xml:space="preserve"> </w:t>
      </w:r>
      <w:r>
        <w:t xml:space="preserve">Teacher Primary's mobile-friendly app for lesson planning (launched Q1 2023) achieved 87% teacher retention rate in Mexico City, outperforming competitors' digital solutions.</w:t>
      </w:r>
    </w:p>
    <w:p>
      <w:pPr>
        <w:numPr>
          <w:ilvl w:val="0"/>
          <w:numId w:val="1001"/>
        </w:numPr>
        <w:pStyle w:val="Compact"/>
      </w:pPr>
      <w:r>
        <w:rPr>
          <w:bCs/>
          <w:b/>
        </w:rPr>
        <w:t xml:space="preserve">Government Collaboration:</w:t>
      </w:r>
      <w:r>
        <w:t xml:space="preserve"> </w:t>
      </w:r>
      <w:r>
        <w:t xml:space="preserve">The Mexico City Secretariat of Education (SEMC) integrated Teacher Primary's "Cultura y Aprendizaje" series into its 2023 curriculum pilot, directly contributing to 15% of total revenue.</w:t>
      </w:r>
    </w:p>
    <w:bookmarkEnd w:id="22"/>
    <w:bookmarkStart w:id="26" w:name="key-success-factors-driving-growth"/>
    <w:p>
      <w:pPr>
        <w:pStyle w:val="Heading2"/>
      </w:pPr>
      <w:r>
        <w:t xml:space="preserve">Key Success Factors Driving Growth</w:t>
      </w:r>
    </w:p>
    <w:p>
      <w:pPr>
        <w:pStyle w:val="FirstParagraph"/>
      </w:pPr>
      <w:r>
        <w:t xml:space="preserve">Teacher Primary's Mexico City success stems from three strategic pillars:</w:t>
      </w:r>
    </w:p>
    <w:bookmarkStart w:id="23" w:name="cultural-and-pedagogical-alignment"/>
    <w:p>
      <w:pPr>
        <w:pStyle w:val="Heading3"/>
      </w:pPr>
      <w:r>
        <w:t xml:space="preserve">1. Cultural and Pedagogical Alignment</w:t>
      </w:r>
    </w:p>
    <w:p>
      <w:pPr>
        <w:pStyle w:val="FirstParagraph"/>
      </w:pPr>
      <w:r>
        <w:t xml:space="preserve">We moved beyond generic resources by embedding Mexico City-specific content: activities featuring local landmarks (e.g., "Exploring the Zócalo in Math Problems"), materials addressing urban environmental education (water conservation in Xochimilco), and culturally relevant stories from Mexican literary traditions. This localized approach resonated deeply with educators who previously struggled to find materials reflecting their students' realities.</w:t>
      </w:r>
    </w:p>
    <w:bookmarkEnd w:id="23"/>
    <w:bookmarkStart w:id="24" w:name="teacher-centric-distribution-model"/>
    <w:p>
      <w:pPr>
        <w:pStyle w:val="Heading3"/>
      </w:pPr>
      <w:r>
        <w:t xml:space="preserve">2. Teacher-Centric Distribution Model</w:t>
      </w:r>
    </w:p>
    <w:p>
      <w:pPr>
        <w:pStyle w:val="FirstParagraph"/>
      </w:pPr>
      <w:r>
        <w:t xml:space="preserve">Rather than relying on traditional retail, Teacher Primary implemented a "Teacher Ambassador" network across Mexico City—147 certified educators who demo products at school meetings and provide peer-to-peer support. This grassroots model generated 68% of new sales in 2023, significantly lowering acquisition costs while building trust within the city's education community.</w:t>
      </w:r>
    </w:p>
    <w:bookmarkEnd w:id="24"/>
    <w:bookmarkStart w:id="25" w:name="X0a1c3b1d86e07781cfc806270818e06ab48e50a"/>
    <w:p>
      <w:pPr>
        <w:pStyle w:val="Heading3"/>
      </w:pPr>
      <w:r>
        <w:t xml:space="preserve">3. Technology Integration with Local Infrastructure</w:t>
      </w:r>
    </w:p>
    <w:p>
      <w:pPr>
        <w:pStyle w:val="FirstParagraph"/>
      </w:pPr>
      <w:r>
        <w:t xml:space="preserve">Recognizing Mexico City's digital divide, Teacher Primary developed offline-capable apps requiring only basic smartphones (not expensive tablets), enabling 22% of low-income school teachers to access digital resources. Our "Café Educativo" mobile units (customized vans) provide free Wi-Fi and device charging at community centers in underserved areas like Tláhuac, ensuring equitable access.</w:t>
      </w:r>
    </w:p>
    <w:bookmarkEnd w:id="25"/>
    <w:bookmarkEnd w:id="26"/>
    <w:bookmarkStart w:id="27" w:name="challenges-and-strategic-imperatives"/>
    <w:p>
      <w:pPr>
        <w:pStyle w:val="Heading2"/>
      </w:pPr>
      <w:r>
        <w:t xml:space="preserve">Challenges and Strategic Imperatives</w:t>
      </w:r>
    </w:p>
    <w:p>
      <w:pPr>
        <w:pStyle w:val="FirstParagraph"/>
      </w:pPr>
      <w:r>
        <w:t xml:space="preserve">Despite strong growth, Mexico City presents unique obstacles requiring continuous adaptation:</w:t>
      </w:r>
    </w:p>
    <w:p>
      <w:pPr>
        <w:numPr>
          <w:ilvl w:val="0"/>
          <w:numId w:val="1002"/>
        </w:numPr>
        <w:pStyle w:val="Compact"/>
      </w:pPr>
      <w:r>
        <w:rPr>
          <w:bCs/>
          <w:b/>
        </w:rPr>
        <w:t xml:space="preserve">Economic Volatility:</w:t>
      </w:r>
      <w:r>
        <w:t xml:space="preserve"> </w:t>
      </w:r>
      <w:r>
        <w:t xml:space="preserve">Inflation impacted school budgets. Teacher Primary introduced a "Sustento Educativo" payment plan allowing quarterly installments (supported by Banco Azteca), maintaining sales during economic fluctuations.</w:t>
      </w:r>
    </w:p>
    <w:p>
      <w:pPr>
        <w:numPr>
          <w:ilvl w:val="0"/>
          <w:numId w:val="1002"/>
        </w:numPr>
        <w:pStyle w:val="Compact"/>
      </w:pPr>
      <w:r>
        <w:rPr>
          <w:bCs/>
          <w:b/>
        </w:rPr>
        <w:t xml:space="preserve">Competition Pressure:</w:t>
      </w:r>
      <w:r>
        <w:t xml:space="preserve"> </w:t>
      </w:r>
      <w:r>
        <w:t xml:space="preserve">Local publishers increased discounts, but Teacher Primary countered with value-based pricing—emphasizing 3-year ROI through reduced teacher burnout and improved student outcomes documented in our Mexico City case studies.</w:t>
      </w:r>
    </w:p>
    <w:p>
      <w:pPr>
        <w:numPr>
          <w:ilvl w:val="0"/>
          <w:numId w:val="1002"/>
        </w:numPr>
        <w:pStyle w:val="Compact"/>
      </w:pPr>
      <w:r>
        <w:rPr>
          <w:bCs/>
          <w:b/>
        </w:rPr>
        <w:t xml:space="preserve">Cultural Nuance Gap:</w:t>
      </w:r>
      <w:r>
        <w:t xml:space="preserve"> </w:t>
      </w:r>
      <w:r>
        <w:t xml:space="preserve">Initial products underutilized indigenous language content. We rapidly launched a "Náhuatl and Maya" resource bundle after feedback from teachers in the Xochimilco district, which generated 420 new institutional contracts within six months.</w:t>
      </w:r>
    </w:p>
    <w:bookmarkEnd w:id="27"/>
    <w:bookmarkStart w:id="28" w:name="X09070846b3b66b42b3e96294bb229f45f428c88"/>
    <w:p>
      <w:pPr>
        <w:pStyle w:val="Heading2"/>
      </w:pPr>
      <w:r>
        <w:t xml:space="preserve">Future Strategy for Mexico City Market (2024-2025)</w:t>
      </w:r>
    </w:p>
    <w:p>
      <w:pPr>
        <w:pStyle w:val="FirstParagraph"/>
      </w:pPr>
      <w:r>
        <w:t xml:space="preserve">Building on our Mexico City momentum, Teacher Primary will implement:</w:t>
      </w:r>
    </w:p>
    <w:p>
      <w:pPr>
        <w:numPr>
          <w:ilvl w:val="0"/>
          <w:numId w:val="1003"/>
        </w:numPr>
        <w:pStyle w:val="Compact"/>
      </w:pPr>
      <w:r>
        <w:rPr>
          <w:bCs/>
          <w:b/>
        </w:rPr>
        <w:t xml:space="preserve">Hyper-Localization Initiative:</w:t>
      </w:r>
      <w:r>
        <w:t xml:space="preserve"> </w:t>
      </w:r>
      <w:r>
        <w:t xml:space="preserve">Partnering with the Universidad Nacional Autónoma de México (UNAM) to develop neighborhood-specific teaching modules for each of Mexico City's 16 boroughs. Starting with Ajusco and Tlalpan in Q2 2024.</w:t>
      </w:r>
    </w:p>
    <w:p>
      <w:pPr>
        <w:numPr>
          <w:ilvl w:val="0"/>
          <w:numId w:val="1003"/>
        </w:numPr>
        <w:pStyle w:val="Compact"/>
      </w:pPr>
      <w:r>
        <w:rPr>
          <w:bCs/>
          <w:b/>
        </w:rPr>
        <w:t xml:space="preserve">Sustainable Education Expansion:</w:t>
      </w:r>
      <w:r>
        <w:t xml:space="preserve"> </w:t>
      </w:r>
      <w:r>
        <w:t xml:space="preserve">Launching "Eco-Aulas" kits focused on urban sustainability—aligned with Mexico City's Climate Action Plan—and targeting all 1,436 public primary schools by end-2025.</w:t>
      </w:r>
    </w:p>
    <w:p>
      <w:pPr>
        <w:numPr>
          <w:ilvl w:val="0"/>
          <w:numId w:val="1003"/>
        </w:numPr>
        <w:pStyle w:val="Compact"/>
      </w:pPr>
      <w:r>
        <w:rPr>
          <w:bCs/>
          <w:b/>
        </w:rPr>
        <w:t xml:space="preserve">Tech Infrastructure Upgrade:</w:t>
      </w:r>
      <w:r>
        <w:t xml:space="preserve"> </w:t>
      </w:r>
      <w:r>
        <w:t xml:space="preserve">Collaborating with Telefónica to provide subsidized data plans for teacher app access in low-connectivity areas, supported by the SEMC's new "Conecta Educación" fund.</w:t>
      </w:r>
    </w:p>
    <w:bookmarkEnd w:id="28"/>
    <w:bookmarkStart w:id="29" w:name="conclusion"/>
    <w:p>
      <w:pPr>
        <w:pStyle w:val="Heading2"/>
      </w:pPr>
      <w:r>
        <w:t xml:space="preserve">Conclusion</w:t>
      </w:r>
    </w:p>
    <w:p>
      <w:pPr>
        <w:pStyle w:val="FirstParagraph"/>
      </w:pPr>
      <w:r>
        <w:t xml:space="preserve">The Mexico City market has proven that Teacher Primary is not merely a sales destination—it's a catalyst for educational transformation. Our 37% growth rate in this dynamic metropolis validates the power of culturally intelligent, teacher-empowered solutions within Mexico's primary education ecosystem. As we deepen our roots across Mexico City neighborhoods—from the historic center to the expanding peripheries—Teacher Primary remains committed to becoming the essential partner for every primary educator navigating Mexico's educational landscape. The success in this pivotal market will directly inform our national expansion strategy across all 32 Mexican states, with Mexico City serving as both a benchmark and launchpad for Teacher Primary's mission.</w:t>
      </w:r>
    </w:p>
    <w:p>
      <w:pPr>
        <w:pStyle w:val="BodyText"/>
      </w:pPr>
      <w:r>
        <w:rPr>
          <w:iCs/>
          <w:i/>
        </w:rPr>
        <w:t xml:space="preserve">Prepared by: Teacher Primary Strategic Sales Division</w:t>
      </w:r>
      <w:r>
        <w:br/>
      </w:r>
      <w:r>
        <w:rPr>
          <w:iCs/>
          <w:i/>
        </w:rPr>
        <w:t xml:space="preserve">Date: October 26, 2024</w:t>
      </w:r>
      <w:r>
        <w:br/>
      </w:r>
      <w:r>
        <w:rPr>
          <w:iCs/>
          <w:i/>
        </w:rPr>
        <w:t xml:space="preserve">Report Validity: Mexico City Educational Market (All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 Mexico City Market</dc:title>
  <dc:creator/>
  <dc:language>en</dc:language>
  <cp:keywords/>
  <dcterms:created xsi:type="dcterms:W3CDTF">2026-07-21T12:30:34Z</dcterms:created>
  <dcterms:modified xsi:type="dcterms:W3CDTF">2026-07-21T12:30:34Z</dcterms:modified>
</cp:coreProperties>
</file>

<file path=docProps/custom.xml><?xml version="1.0" encoding="utf-8"?>
<Properties xmlns="http://schemas.openxmlformats.org/officeDocument/2006/custom-properties" xmlns:vt="http://schemas.openxmlformats.org/officeDocument/2006/docPropsVTypes"/>
</file>