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Primary</w:t>
      </w:r>
      <w:r>
        <w:t xml:space="preserve"> </w:t>
      </w:r>
      <w:r>
        <w:t xml:space="preserve">Teacher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Morocco</w:t>
      </w:r>
      <w:r>
        <w:t xml:space="preserve"> </w:t>
      </w:r>
      <w:r>
        <w:t xml:space="preserve">Casablanca</w:t>
      </w:r>
    </w:p>
    <w:bookmarkStart w:id="28" w:name="Xd22cdb9ec994f4a5f0dc88570b3144aa528fefa"/>
    <w:p>
      <w:pPr>
        <w:pStyle w:val="Heading1"/>
      </w:pPr>
      <w:r>
        <w:t xml:space="preserve">Comprehensive Sales Report: Primary Teacher Educational Solutions in Morocco Casablanca</w:t>
      </w:r>
    </w:p>
    <w:bookmarkStart w:id="20" w:name="executive-summary"/>
    <w:p>
      <w:pPr>
        <w:pStyle w:val="Heading2"/>
      </w:pPr>
      <w:r>
        <w:t xml:space="preserve">Executive Summary</w:t>
      </w:r>
    </w:p>
    <w:p>
      <w:pPr>
        <w:pStyle w:val="FirstParagraph"/>
      </w:pPr>
      <w:r>
        <w:t xml:space="preserve">This Sales Report details the performance of educational solutions targeting Primary Teachers across the vibrant market of Morocco Casablanca during Q3 2023. As the economic and educational hub of Morocco, Casablanca represents a critical growth frontier for primary education services. The report demonstrates a 18% year-over-year increase in sales volume to Primary Teacher institutions, reflecting strong market penetration and alignment with national curriculum reforms. Our strategic focus on delivering tailored learning resources specifically designed for Primary Teachers has positioned us as the preferred partner across Casablanca's expanding primary education ecosystem.</w:t>
      </w:r>
    </w:p>
    <w:bookmarkEnd w:id="20"/>
    <w:bookmarkStart w:id="21" w:name="Xd8b852a765bc3cec4c91f6dd64ebd3c071e8fd4"/>
    <w:p>
      <w:pPr>
        <w:pStyle w:val="Heading2"/>
      </w:pPr>
      <w:r>
        <w:t xml:space="preserve">Market Context: Morocco Casablanca Educational Landscape</w:t>
      </w:r>
    </w:p>
    <w:p>
      <w:pPr>
        <w:pStyle w:val="FirstParagraph"/>
      </w:pPr>
      <w:r>
        <w:t xml:space="preserve">Casablanca, home to over 4 million residents and more than 350 primary schools, presents a dynamic environment for educational sales. The Moroccan Ministry of National Education's recent initiatives emphasizing digital literacy in primary classrooms have created unprecedented demand for modern teaching solutions. Our data shows Casablanca accounts for 27% of all primary teacher education purchases in Morocco, with growth accelerating at 12% annually due to government-funded infrastructure upgrades across the city. This report specifically addresses how our offerings meet the unique needs of Primary Teachers navigating curriculum modernization while serving diverse urban student populations.</w:t>
      </w:r>
    </w:p>
    <w:bookmarkEnd w:id="21"/>
    <w:bookmarkStart w:id="22" w:name="key-performance-metrics-q3-2023"/>
    <w:p>
      <w:pPr>
        <w:pStyle w:val="Heading2"/>
      </w:pPr>
      <w:r>
        <w:t xml:space="preserve">Key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Sales Value (MAD)</w:t>
            </w:r>
          </w:p>
        </w:tc>
        <w:tc>
          <w:tcPr/>
          <w:p>
            <w:pPr>
              <w:pStyle w:val="Compact"/>
              <w:jc w:val="left"/>
            </w:pPr>
            <w:r>
              <w:t xml:space="preserve">1,845,000</w:t>
            </w:r>
          </w:p>
        </w:tc>
        <w:tc>
          <w:tcPr/>
          <w:p>
            <w:pPr>
              <w:pStyle w:val="Compact"/>
              <w:jc w:val="left"/>
            </w:pPr>
            <w:r>
              <w:t xml:space="preserve">1,563,500</w:t>
            </w:r>
          </w:p>
        </w:tc>
        <w:tc>
          <w:tcPr/>
          <w:p>
            <w:pPr>
              <w:pStyle w:val="Compact"/>
              <w:jc w:val="left"/>
            </w:pPr>
            <w:r>
              <w:t xml:space="preserve">+18.0%</w:t>
            </w:r>
          </w:p>
        </w:tc>
      </w:tr>
      <w:tr>
        <w:tc>
          <w:tcPr/>
          <w:p>
            <w:pPr>
              <w:pStyle w:val="Compact"/>
              <w:jc w:val="left"/>
            </w:pPr>
            <w:r>
              <w:t xml:space="preserve">Primary Teacher Contracts Signed</w:t>
            </w:r>
          </w:p>
        </w:tc>
        <w:tc>
          <w:tcPr/>
          <w:p>
            <w:pPr>
              <w:pStyle w:val="Compact"/>
              <w:jc w:val="left"/>
            </w:pPr>
            <w:r>
              <w:t xml:space="preserve">247</w:t>
            </w:r>
          </w:p>
        </w:tc>
        <w:tc>
          <w:tcPr>
            <w:vMerge w:val="restart"/>
          </w:tcPr>
          <w:p>
            <w:pPr>
              <w:pStyle w:val="Compact"/>
              <w:jc w:val="left"/>
            </w:pPr>
            <w:r>
              <w:t xml:space="preserve">+22.8%</w:t>
            </w:r>
          </w:p>
        </w:tc>
        <w:tc>
          <w:tcPr/>
          <w:p>
            <w:pPr>
              <w:pStyle w:val="Compact"/>
            </w:pPr>
          </w:p>
        </w:tc>
      </w:tr>
      <w:tr>
        <w:tc>
          <w:tcPr/>
          <w:p>
            <w:pPr>
              <w:pStyle w:val="Compact"/>
              <w:jc w:val="left"/>
            </w:pPr>
            <w:r>
              <w:t xml:space="preserve">Elementary School Partnerships</w:t>
            </w:r>
          </w:p>
        </w:tc>
        <w:tc>
          <w:tcPr/>
          <w:p>
            <w:pPr>
              <w:pStyle w:val="Compact"/>
              <w:jc w:val="left"/>
            </w:pPr>
            <w:r>
              <w:t xml:space="preserve">192</w:t>
            </w:r>
          </w:p>
        </w:tc>
        <w:tc>
          <w:tcPr>
            <w:gridSpan w:val="1"/>
            <w:vMerge w:val="continue"/>
          </w:tcPr>
          <w:p>
            <w:pPr/>
          </w:p>
        </w:tc>
        <w:tc>
          <w:tcPr/>
          <w:p>
            <w:pPr>
              <w:pStyle w:val="Compact"/>
            </w:pPr>
          </w:p>
        </w:tc>
      </w:tr>
      <w:tr>
        <w:tc>
          <w:tcPr/>
          <w:p>
            <w:pPr>
              <w:pStyle w:val="Compact"/>
              <w:jc w:val="left"/>
            </w:pPr>
            <w:r>
              <w:t xml:space="preserve">Digital Resource Adoption Rate</w:t>
            </w:r>
          </w:p>
        </w:tc>
        <w:tc>
          <w:tcPr/>
          <w:p>
            <w:pPr>
              <w:pStyle w:val="Compact"/>
              <w:jc w:val="left"/>
            </w:pPr>
            <w:r>
              <w:t xml:space="preserve">68%</w:t>
            </w:r>
          </w:p>
        </w:tc>
        <w:tc>
          <w:tcPr>
            <w:gridSpan w:val="1"/>
            <w:vMerge w:val="continue"/>
          </w:tcPr>
          <w:p>
            <w:pPr/>
          </w:p>
        </w:tc>
        <w:tc>
          <w:tcPr/>
          <w:p>
            <w:pPr>
              <w:pStyle w:val="Compact"/>
            </w:pPr>
          </w:p>
        </w:tc>
      </w:tr>
    </w:tbl>
    <w:p>
      <w:pPr>
        <w:pStyle w:val="BodyText"/>
      </w:pPr>
      <w:r>
        <w:t xml:space="preserve">The 247 Primary Teacher contracts signed in Casablanca during Q3 represent a market-leading penetration rate, particularly among public primary schools. This achievement stems from our targeted approach addressing three critical pain points identified through teacher surveys: curriculum alignment (92% of teachers reported needing updated materials), classroom management tools (78% requested digital organization solutions), and student engagement resources (85% sought interactive learning aids). Our sales strategy now integrates these insights directly into our Primary Teacher solution packages.</w:t>
      </w:r>
    </w:p>
    <w:bookmarkEnd w:id="22"/>
    <w:bookmarkStart w:id="23" w:name="product-performance-analysis"/>
    <w:p>
      <w:pPr>
        <w:pStyle w:val="Heading2"/>
      </w:pPr>
      <w:r>
        <w:t xml:space="preserve">Product Performance Analysis</w:t>
      </w:r>
    </w:p>
    <w:p>
      <w:pPr>
        <w:pStyle w:val="FirstParagraph"/>
      </w:pPr>
      <w:r>
        <w:t xml:space="preserve">Our flagship "Primary Teacher Success Suite" generated 64% of total Casablanca sales, demonstrating exceptional resonance with educators. This suite includes:</w:t>
      </w:r>
    </w:p>
    <w:p>
      <w:pPr>
        <w:numPr>
          <w:ilvl w:val="0"/>
          <w:numId w:val="1001"/>
        </w:numPr>
        <w:pStyle w:val="Compact"/>
      </w:pPr>
      <w:r>
        <w:rPr>
          <w:bCs/>
          <w:b/>
        </w:rPr>
        <w:t xml:space="preserve">Curriculum-Adapted Digital Kits:</w:t>
      </w:r>
      <w:r>
        <w:t xml:space="preserve"> </w:t>
      </w:r>
      <w:r>
        <w:t xml:space="preserve">52% of total revenue (e.g., interactive French/Arabic language modules aligned with Morocco's national primary curriculum)</w:t>
      </w:r>
    </w:p>
    <w:p>
      <w:pPr>
        <w:numPr>
          <w:ilvl w:val="0"/>
          <w:numId w:val="1001"/>
        </w:numPr>
        <w:pStyle w:val="Compact"/>
      </w:pPr>
      <w:r>
        <w:rPr>
          <w:bCs/>
          <w:b/>
        </w:rPr>
        <w:t xml:space="preserve">Classroom Management Platforms:</w:t>
      </w:r>
      <w:r>
        <w:t xml:space="preserve"> </w:t>
      </w:r>
      <w:r>
        <w:t xml:space="preserve">31% revenue share (used by 89% of Primary Teachers for attendance, behavior tracking, and parent communication)</w:t>
      </w:r>
    </w:p>
    <w:p>
      <w:pPr>
        <w:numPr>
          <w:ilvl w:val="0"/>
          <w:numId w:val="1001"/>
        </w:numPr>
        <w:pStyle w:val="Compact"/>
      </w:pPr>
      <w:r>
        <w:rPr>
          <w:bCs/>
          <w:b/>
        </w:rPr>
        <w:t xml:space="preserve">Student Engagement Kits:</w:t>
      </w:r>
      <w:r>
        <w:t xml:space="preserve"> </w:t>
      </w:r>
      <w:r>
        <w:t xml:space="preserve">15% revenue share (physical/digital resources for differentiated instruction in multi-grade classrooms)</w:t>
      </w:r>
    </w:p>
    <w:p>
      <w:pPr>
        <w:pStyle w:val="FirstParagraph"/>
      </w:pPr>
      <w:r>
        <w:t xml:space="preserve">Notably, sales to Primary Teachers in Casablanca's underserved districts (e.g., Hay Mohammadi, Sidi Moussa) grew by 34%, driven by our subsidized partnership program with the Casablanca Education Directorate. This initiative provided 120 schools with free digital access while training over 850 Primary Teachers on effective implementation – a strategic move that generated significant long-term contracts.</w:t>
      </w:r>
    </w:p>
    <w:bookmarkEnd w:id="23"/>
    <w:bookmarkStart w:id="24" w:name="X71364bdbecd65edbd2cca0cc1dfb9fe7bddf3e8"/>
    <w:p>
      <w:pPr>
        <w:pStyle w:val="Heading2"/>
      </w:pPr>
      <w:r>
        <w:t xml:space="preserve">Geographic Sales Distribution: Casablanca's Educational Zones</w:t>
      </w:r>
    </w:p>
    <w:p>
      <w:pPr>
        <w:pStyle w:val="FirstParagraph"/>
      </w:pPr>
      <w:r>
        <w:t xml:space="preserve">Analysis reveals distinct sales patterns across Casablanca's educational zones:</w:t>
      </w:r>
    </w:p>
    <w:p>
      <w:pPr>
        <w:numPr>
          <w:ilvl w:val="0"/>
          <w:numId w:val="1002"/>
        </w:numPr>
        <w:pStyle w:val="Compact"/>
      </w:pPr>
      <w:r>
        <w:rPr>
          <w:bCs/>
          <w:b/>
        </w:rPr>
        <w:t xml:space="preserve">Urban Centers (Anfa, Sidi Belyout):</w:t>
      </w:r>
      <w:r>
        <w:t xml:space="preserve"> </w:t>
      </w:r>
      <w:r>
        <w:t xml:space="preserve">High demand for premium digital solutions (72% of sales), driven by private primary schools and international institutions.</w:t>
      </w:r>
    </w:p>
    <w:p>
      <w:pPr>
        <w:numPr>
          <w:ilvl w:val="0"/>
          <w:numId w:val="1002"/>
        </w:numPr>
        <w:pStyle w:val="Compact"/>
      </w:pPr>
      <w:r>
        <w:rPr>
          <w:bCs/>
          <w:b/>
        </w:rPr>
        <w:t xml:space="preserve">Middle-Class Neighborhoods (Mohammed V, Aïn Chock):</w:t>
      </w:r>
      <w:r>
        <w:t xml:space="preserve"> </w:t>
      </w:r>
      <w:r>
        <w:t xml:space="preserve">Balanced adoption of digital and physical resources (48% hybrid solutions), with strong school cluster partnerships.</w:t>
      </w:r>
    </w:p>
    <w:p>
      <w:pPr>
        <w:numPr>
          <w:ilvl w:val="0"/>
          <w:numId w:val="1002"/>
        </w:numPr>
        <w:pStyle w:val="Compact"/>
      </w:pPr>
      <w:r>
        <w:rPr>
          <w:bCs/>
          <w:b/>
        </w:rPr>
        <w:t xml:space="preserve">Larger Residential Areas (Sidi Maarouf, Hay Hassani):</w:t>
      </w:r>
      <w:r>
        <w:t xml:space="preserve"> </w:t>
      </w:r>
      <w:r>
        <w:t xml:space="preserve">Highest growth in subsidized programs (34% YoY), where Primary Teachers prioritized cost-effective classroom management tools.</w:t>
      </w:r>
    </w:p>
    <w:p>
      <w:pPr>
        <w:pStyle w:val="FirstParagraph"/>
      </w:pPr>
      <w:r>
        <w:t xml:space="preserve">This segmentation allows our sales team to tailor presentations specifically for Casablanca's diverse educational environments, directly addressing the unique challenges faced by Primary Teachers in each district.</w:t>
      </w:r>
    </w:p>
    <w:bookmarkEnd w:id="24"/>
    <w:bookmarkStart w:id="25" w:name="X8e8e39c1d5d278aac8e94cd81625e53199ade6b"/>
    <w:p>
      <w:pPr>
        <w:pStyle w:val="Heading2"/>
      </w:pPr>
      <w:r>
        <w:t xml:space="preserve">Challenges &amp; Strategic Response in Morocco Casablanca</w:t>
      </w:r>
    </w:p>
    <w:p>
      <w:pPr>
        <w:pStyle w:val="FirstParagraph"/>
      </w:pPr>
      <w:r>
        <w:t xml:space="preserve">While market momentum is strong, we identified two key challenges requiring immediate action:</w:t>
      </w:r>
    </w:p>
    <w:p>
      <w:pPr>
        <w:numPr>
          <w:ilvl w:val="0"/>
          <w:numId w:val="1003"/>
        </w:numPr>
        <w:pStyle w:val="Compact"/>
      </w:pPr>
      <w:r>
        <w:rPr>
          <w:bCs/>
          <w:b/>
        </w:rPr>
        <w:t xml:space="preserve">Cultural Adaptation Gap:</w:t>
      </w:r>
      <w:r>
        <w:t xml:space="preserve"> </w:t>
      </w:r>
      <w:r>
        <w:t xml:space="preserve">Initial digital solutions required localization beyond language translation. Our team now collaborates directly with 15 Primary Teachers from Casablanca's education network to co-develop culturally resonant content (e.g., incorporating Moroccan folktales in literacy modules).</w:t>
      </w:r>
    </w:p>
    <w:p>
      <w:pPr>
        <w:numPr>
          <w:ilvl w:val="0"/>
          <w:numId w:val="1003"/>
        </w:numPr>
        <w:pStyle w:val="Compact"/>
      </w:pPr>
      <w:r>
        <w:rPr>
          <w:bCs/>
          <w:b/>
        </w:rPr>
        <w:t xml:space="preserve">Infrastructure Limitations:</w:t>
      </w:r>
      <w:r>
        <w:t xml:space="preserve"> </w:t>
      </w:r>
      <w:r>
        <w:t xml:space="preserve">32% of public schools in older Casablanca districts lack reliable internet. We introduced offline-compatible resource kits with USB drive access, increasing adoption by Primary Teachers in these areas by 57%.</w:t>
      </w:r>
    </w:p>
    <w:p>
      <w:pPr>
        <w:pStyle w:val="FirstParagraph"/>
      </w:pPr>
      <w:r>
        <w:t xml:space="preserve">The response to these challenges has directly boosted our sales conversion rate from 41% to 63% among new leads in Morocco Casablanca.</w:t>
      </w:r>
    </w:p>
    <w:bookmarkEnd w:id="25"/>
    <w:bookmarkStart w:id="26" w:name="X9d3cb46d171fec5dc3869c261abf713923568d7"/>
    <w:p>
      <w:pPr>
        <w:pStyle w:val="Heading2"/>
      </w:pPr>
      <w:r>
        <w:t xml:space="preserve">Strategic Outlook for Primary Teacher Market Growth</w:t>
      </w:r>
    </w:p>
    <w:p>
      <w:pPr>
        <w:pStyle w:val="FirstParagraph"/>
      </w:pPr>
      <w:r>
        <w:t xml:space="preserve">Our Q4 2023 strategy focuses on three pillars to sustain growth in the Morocco Casablanca primary education market:</w:t>
      </w:r>
    </w:p>
    <w:p>
      <w:pPr>
        <w:numPr>
          <w:ilvl w:val="0"/>
          <w:numId w:val="1004"/>
        </w:numPr>
        <w:pStyle w:val="Compact"/>
      </w:pPr>
      <w:r>
        <w:rPr>
          <w:bCs/>
          <w:b/>
        </w:rPr>
        <w:t xml:space="preserve">Teacher Certification Programs:</w:t>
      </w:r>
      <w:r>
        <w:t xml:space="preserve"> </w:t>
      </w:r>
      <w:r>
        <w:t xml:space="preserve">Partnering with Casablanca University's Education Faculty to offer accredited professional development, directly linking our sales solutions to teacher career advancement.</w:t>
      </w:r>
    </w:p>
    <w:p>
      <w:pPr>
        <w:numPr>
          <w:ilvl w:val="0"/>
          <w:numId w:val="1004"/>
        </w:numPr>
        <w:pStyle w:val="Compact"/>
      </w:pPr>
      <w:r>
        <w:rPr>
          <w:bCs/>
          <w:b/>
        </w:rPr>
        <w:t xml:space="preserve">District-Level Procurement Agreements:</w:t>
      </w:r>
      <w:r>
        <w:t xml:space="preserve"> </w:t>
      </w:r>
      <w:r>
        <w:t xml:space="preserve">Targeting the Casablanca Regional Education Office for city-wide contracts covering 500+ Primary Teachers by Q2 2024.</w:t>
      </w:r>
    </w:p>
    <w:p>
      <w:pPr>
        <w:numPr>
          <w:ilvl w:val="0"/>
          <w:numId w:val="1004"/>
        </w:numPr>
        <w:pStyle w:val="Compact"/>
      </w:pPr>
      <w:r>
        <w:rPr>
          <w:bCs/>
          <w:b/>
        </w:rPr>
        <w:t xml:space="preserve">Sustainability Integration:</w:t>
      </w:r>
      <w:r>
        <w:t xml:space="preserve"> </w:t>
      </w:r>
      <w:r>
        <w:t xml:space="preserve">Launching eco-friendly resource kits using locally sourced materials, aligning with Morocco's National Initiative for Green Education.</w:t>
      </w:r>
    </w:p>
    <w:p>
      <w:pPr>
        <w:pStyle w:val="FirstParagraph"/>
      </w:pPr>
      <w:r>
        <w:t xml:space="preserve">These initiatives position us to capture an additional 15-18% market share in the Casablanca Primary Teacher sector within 12 months. The Moroccan government's "Digital Morocco 2030" strategy, with its focus on primary education digital transformation, further validates our market approach.</w:t>
      </w:r>
    </w:p>
    <w:bookmarkEnd w:id="26"/>
    <w:bookmarkStart w:id="27" w:name="Xfc2745555bc9377ba48a85a198f016e4747b2ee"/>
    <w:p>
      <w:pPr>
        <w:pStyle w:val="Heading2"/>
      </w:pPr>
      <w:r>
        <w:t xml:space="preserve">Conclusion: Driving Educational Excellence Through Strategic Sales</w:t>
      </w:r>
    </w:p>
    <w:p>
      <w:pPr>
        <w:pStyle w:val="FirstParagraph"/>
      </w:pPr>
      <w:r>
        <w:t xml:space="preserve">This Sales Report confirms that our targeted engagement with Primary Teachers across Morocco Casablanca has yielded exceptional results. By prioritizing curriculum-aligned solutions, cultural adaptation, and infrastructure sensitivity – all tailored to the unique demands of Casablanca's primary education environment – we've established a sustainable growth model. The 18% revenue increase in Q3 isn't merely a sales figure; it represents tangible support for over 250 Primary Teachers who now deliver enhanced learning experiences to approximately 42,000 students across the city.</w:t>
      </w:r>
    </w:p>
    <w:p>
      <w:pPr>
        <w:pStyle w:val="BodyText"/>
      </w:pPr>
      <w:r>
        <w:t xml:space="preserve">As Morocco's educational transformation accelerates, our Sales Report underscores that success in the Primary Teacher market hinges on understanding local context. The Casablanca experience proves that when sales strategies reflect classroom realities – from digital literacy needs to cultural relevance – both educator satisfaction and commercial outcomes reach new heights. We remain committed to being the strategic partner of choice for every Primary Teacher navigating Morocco's evolving educational landscape, with Casablanca serving as our flagship model for national expansion.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Teacher Sales Performance Report - Morocco Casablanca</dc:title>
  <dc:creator/>
  <dc:language>en</dc:language>
  <cp:keywords/>
  <dcterms:created xsi:type="dcterms:W3CDTF">2025-12-10T00:08:59Z</dcterms:created>
  <dcterms:modified xsi:type="dcterms:W3CDTF">2025-12-10T00:08:59Z</dcterms:modified>
</cp:coreProperties>
</file>

<file path=docProps/custom.xml><?xml version="1.0" encoding="utf-8"?>
<Properties xmlns="http://schemas.openxmlformats.org/officeDocument/2006/custom-properties" xmlns:vt="http://schemas.openxmlformats.org/officeDocument/2006/docPropsVTypes"/>
</file>