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Amsterdam,</w:t>
      </w:r>
      <w:r>
        <w:t xml:space="preserve"> </w:t>
      </w:r>
      <w:r>
        <w:t xml:space="preserve">Netherlands</w:t>
      </w:r>
    </w:p>
    <w:bookmarkStart w:id="28" w:name="X5f7371ef03cce73015f3c87263d9ee9fbf78a51"/>
    <w:p>
      <w:pPr>
        <w:pStyle w:val="Heading1"/>
      </w:pPr>
      <w:r>
        <w:t xml:space="preserve">Sales Report for Primary Education Resources in Netherlands Amsterdam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Educational Solutions International Board</w:t>
      </w:r>
    </w:p>
    <w:bookmarkStart w:id="20" w:name="executive-summary"/>
    <w:p>
      <w:pPr>
        <w:pStyle w:val="Heading2"/>
      </w:pPr>
      <w:r>
        <w:t xml:space="preserve">Executive Summary</w:t>
      </w:r>
    </w:p>
    <w:p>
      <w:pPr>
        <w:pStyle w:val="FirstParagraph"/>
      </w:pPr>
      <w:r>
        <w:t xml:space="preserve">This comprehensive</w:t>
      </w:r>
      <w:r>
        <w:t xml:space="preserve"> </w:t>
      </w:r>
      <w:r>
        <w:rPr>
          <w:iCs/>
          <w:i/>
        </w:rPr>
        <w:t xml:space="preserve">Sales Report</w:t>
      </w:r>
      <w:r>
        <w:t xml:space="preserve"> </w:t>
      </w:r>
      <w:r>
        <w:t xml:space="preserve">details the performance of primary education resource offerings across the Amsterdam region within the Netherlands. The document specifically analyzes sales metrics, market trends, and customer acquisition strategies targeting</w:t>
      </w:r>
      <w:r>
        <w:t xml:space="preserve"> </w:t>
      </w:r>
      <w:r>
        <w:rPr>
          <w:iCs/>
          <w:i/>
        </w:rPr>
        <w:t xml:space="preserve">Teacher Primary</w:t>
      </w:r>
      <w:r>
        <w:t xml:space="preserve"> </w:t>
      </w:r>
      <w:r>
        <w:t xml:space="preserve">professionals operating in municipal schools and private institutions throughout Amsterdam. With 87% of our total revenue in this sector coming from Amsterdam-based educational institutions, this report underscores the critical importance of our localized approach to serving the unique pedagogical demands of Dutch primary education. Our strategic focus on</w:t>
      </w:r>
      <w:r>
        <w:t xml:space="preserve"> </w:t>
      </w:r>
      <w:r>
        <w:rPr>
          <w:iCs/>
          <w:i/>
        </w:rPr>
        <w:t xml:space="preserve">Netherlands Amsterdam</w:t>
      </w:r>
      <w:r>
        <w:t xml:space="preserve">'s curriculum requirements has driven a 22% year-over-year growth in teacher resource subscriptions.</w:t>
      </w:r>
    </w:p>
    <w:bookmarkEnd w:id="20"/>
    <w:bookmarkStart w:id="21" w:name="X173749f98f8a5bd13ebbc38a417a69970a17694"/>
    <w:p>
      <w:pPr>
        <w:pStyle w:val="Heading2"/>
      </w:pPr>
      <w:r>
        <w:t xml:space="preserve">Market Context: Primary Education Landscape in Amsterdam</w:t>
      </w:r>
    </w:p>
    <w:p>
      <w:pPr>
        <w:pStyle w:val="FirstParagraph"/>
      </w:pPr>
      <w:r>
        <w:t xml:space="preserve">The Netherlands education system mandates a structured primary curriculum (PO) for children aged 4-12, with Amsterdam's municipal schools following the nationally standardized "Basisonderwijs" framework. As of 2023, Amsterdam has over 150 primary schools serving approximately 65,000 students, creating a substantial market for specialized</w:t>
      </w:r>
      <w:r>
        <w:t xml:space="preserve"> </w:t>
      </w:r>
      <w:r>
        <w:rPr>
          <w:iCs/>
          <w:i/>
        </w:rPr>
        <w:t xml:space="preserve">Teacher Primary</w:t>
      </w:r>
      <w:r>
        <w:t xml:space="preserve"> </w:t>
      </w:r>
      <w:r>
        <w:t xml:space="preserve">resources. Recent educational reforms emphasize inclusive learning and digital literacy - factors directly influencing our product development pipeline.</w:t>
      </w:r>
    </w:p>
    <w:p>
      <w:pPr>
        <w:pStyle w:val="BodyText"/>
      </w:pPr>
      <w:r>
        <w:t xml:space="preserve">Cultural nuances specific to Amsterdam are critical: Teachers here prioritize collaborative learning environments (project-based methods), integrate Dutch language immersion techniques, and require materials aligned with the "SBO" (Schoolleerplan BasisOnderwijs) framework. Our market analysis confirms that 78% of primary teachers in Amsterdam actively seek digital tools that reduce administrative burden while enhancing student engagement - a key differentiator for our premium resource packages.</w:t>
      </w:r>
    </w:p>
    <w:bookmarkEnd w:id="21"/>
    <w:bookmarkStart w:id="24" w:name="q3-2023-sales-performance-analysis"/>
    <w:p>
      <w:pPr>
        <w:pStyle w:val="Heading2"/>
      </w:pPr>
      <w:r>
        <w:t xml:space="preserve">Q3 2023 Sales Performance Analysis</w:t>
      </w:r>
    </w:p>
    <w:bookmarkStart w:id="22" w:name="revenue-streams-growth-metrics"/>
    <w:p>
      <w:pPr>
        <w:pStyle w:val="Heading3"/>
      </w:pPr>
      <w:r>
        <w:t xml:space="preserve">Revenue Streams &amp; Growth Metrics</w:t>
      </w:r>
    </w:p>
    <w:p>
      <w:pPr>
        <w:pStyle w:val="FirstParagraph"/>
      </w:pPr>
      <w:r>
        <w:t xml:space="preserve">Product Category</w:t>
      </w:r>
    </w:p>
    <w:p>
      <w:pPr>
        <w:pStyle w:val="BodyText"/>
      </w:pPr>
      <w:r>
        <w:t xml:space="preserve">Amsterdam Revenue (€)</w:t>
      </w:r>
    </w:p>
    <w:p>
      <w:pPr>
        <w:pStyle w:val="BodyText"/>
      </w:pPr>
      <w:r>
        <w:t xml:space="preserve">YoY Growth</w:t>
      </w:r>
    </w:p>
    <w:p>
      <w:pPr>
        <w:pStyle w:val="BodyText"/>
      </w:pPr>
      <w:r>
        <w:t xml:space="preserve">Market Share</w:t>
      </w:r>
    </w:p>
    <w:p>
      <w:pPr>
        <w:pStyle w:val="BodyText"/>
      </w:pPr>
      <w:r>
        <w:t xml:space="preserve">Digital Curriculum Packs (Dutch-aligned)</w:t>
      </w:r>
    </w:p>
    <w:p>
      <w:pPr>
        <w:pStyle w:val="BodyText"/>
      </w:pPr>
      <w:r>
        <w:t xml:space="preserve">€215,000</w:t>
      </w:r>
    </w:p>
    <w:p>
      <w:pPr>
        <w:pStyle w:val="BodyText"/>
      </w:pPr>
      <w:r>
        <w:t xml:space="preserve">+34%</w:t>
      </w:r>
    </w:p>
    <w:p>
      <w:pPr>
        <w:pStyle w:val="BodyText"/>
      </w:pPr>
      <w:r>
        <w:t xml:space="preserve">28%</w:t>
      </w:r>
    </w:p>
    <w:p>
      <w:pPr>
        <w:pStyle w:val="BodyText"/>
      </w:pPr>
      <w:r>
        <w:t xml:space="preserve">Teacher Professional Development (Online)</w:t>
      </w:r>
    </w:p>
    <w:p>
      <w:pPr>
        <w:pStyle w:val="BodyText"/>
      </w:pPr>
      <w:r>
        <w:t xml:space="preserve">€87,500</w:t>
      </w:r>
    </w:p>
    <w:p>
      <w:pPr>
        <w:pStyle w:val="BodyText"/>
      </w:pPr>
      <w:r>
        <w:t xml:space="preserve">+19%</w:t>
      </w:r>
    </w:p>
    <w:p>
      <w:pPr>
        <w:pStyle w:val="BodyText"/>
      </w:pPr>
      <w:r>
        <w:t xml:space="preserve">17%</w:t>
      </w:r>
    </w:p>
    <w:p>
      <w:pPr>
        <w:pStyle w:val="BodyText"/>
      </w:pPr>
      <w:r>
        <w:t xml:space="preserve">Interactive Learning Kits (Physical)</w:t>
      </w:r>
    </w:p>
    <w:p>
      <w:pPr>
        <w:pStyle w:val="BodyText"/>
      </w:pPr>
      <w:r>
        <w:t xml:space="preserve">€42,300</w:t>
      </w:r>
    </w:p>
    <w:p>
      <w:pPr>
        <w:pStyle w:val="BodyText"/>
      </w:pPr>
      <w:r>
        <w:t xml:space="preserve">+6%</w:t>
      </w:r>
    </w:p>
    <w:p>
      <w:pPr>
        <w:pStyle w:val="BodyText"/>
      </w:pPr>
      <w:r>
        <w:t xml:space="preserve">Total Primary Resources (Amsterdam)</w:t>
      </w:r>
    </w:p>
    <w:p>
      <w:pPr>
        <w:pStyle w:val="BodyText"/>
      </w:pPr>
      <w:r>
        <w:t xml:space="preserve">Key growth drivers in Amsterdam include our "Onderwijs voor Alle" (Education for All) initiative, which provided free access to digital literacy modules for 320 primary schools during Q3. This campaign directly contributed to a 41% increase in trial sign-ups from</w:t>
      </w:r>
      <w:r>
        <w:t xml:space="preserve"> </w:t>
      </w:r>
      <w:r>
        <w:rPr>
          <w:iCs/>
          <w:i/>
        </w:rPr>
        <w:t xml:space="preserve">Teacher Primary</w:t>
      </w:r>
      <w:r>
        <w:t xml:space="preserve"> </w:t>
      </w:r>
      <w:r>
        <w:t xml:space="preserve">professionals. Notably, Amsterdam's school districts showed a 57% higher adoption rate of our climate education bundles compared to national averages - aligning with the city's sustainability-focused educational priorities.</w:t>
      </w:r>
    </w:p>
    <w:bookmarkEnd w:id="22"/>
    <w:bookmarkStart w:id="23" w:name="customer-acquisition-insights"/>
    <w:p>
      <w:pPr>
        <w:pStyle w:val="Heading3"/>
      </w:pPr>
      <w:r>
        <w:t xml:space="preserve">Customer Acquisition Insights</w:t>
      </w:r>
    </w:p>
    <w:p>
      <w:pPr>
        <w:pStyle w:val="FirstParagraph"/>
      </w:pPr>
      <w:r>
        <w:t xml:space="preserve">In Amsterdam, teacher acquisition costs are 23% lower than the national average due to our deep integration with local educational networks. We've established partnerships with three major Amsterdam education clusters (Amsterdam Oost, West, and Centrum) that provide us direct access to primary school leadership. This has enabled us to achieve a 68% customer retention rate among</w:t>
      </w:r>
      <w:r>
        <w:t xml:space="preserve"> </w:t>
      </w:r>
      <w:r>
        <w:rPr>
          <w:iCs/>
          <w:i/>
        </w:rPr>
        <w:t xml:space="preserve">Teacher Primary</w:t>
      </w:r>
      <w:r>
        <w:t xml:space="preserve"> </w:t>
      </w:r>
      <w:r>
        <w:t xml:space="preserve">users in the Netherlands Amsterdam region - significantly above the industry benchmark of 52%.</w:t>
      </w:r>
    </w:p>
    <w:p>
      <w:pPr>
        <w:pStyle w:val="BodyText"/>
      </w:pPr>
      <w:r>
        <w:t xml:space="preserve">Our sales team reports that Amsterdam teachers most value resources offering:</w:t>
      </w:r>
    </w:p>
    <w:p>
      <w:pPr>
        <w:numPr>
          <w:ilvl w:val="0"/>
          <w:numId w:val="1001"/>
        </w:numPr>
        <w:pStyle w:val="Compact"/>
      </w:pPr>
      <w:r>
        <w:t xml:space="preserve">Real-time collaboration features for classroom groups</w:t>
      </w:r>
    </w:p>
    <w:p>
      <w:pPr>
        <w:numPr>
          <w:ilvl w:val="0"/>
          <w:numId w:val="1001"/>
        </w:numPr>
        <w:pStyle w:val="Compact"/>
      </w:pPr>
      <w:r>
        <w:t xml:space="preserve">Materials compliant with Dutch "Innovatief Onderwijs" standards</w:t>
      </w:r>
    </w:p>
    <w:p>
      <w:pPr>
        <w:numPr>
          <w:ilvl w:val="0"/>
          <w:numId w:val="1001"/>
        </w:numPr>
        <w:pStyle w:val="Compact"/>
      </w:pPr>
      <w:r>
        <w:t xml:space="preserve">Flexible pricing models accommodating Amsterdam's public school budget cycles</w:t>
      </w:r>
    </w:p>
    <w:bookmarkEnd w:id="23"/>
    <w:bookmarkEnd w:id="24"/>
    <w:bookmarkStart w:id="25" w:name="Xa922e76bce569c4f6c821a5a3c0e7d9bbd8cb1b"/>
    <w:p>
      <w:pPr>
        <w:pStyle w:val="Heading2"/>
      </w:pPr>
      <w:r>
        <w:t xml:space="preserve">Challenges in Netherlands Amsterdam Market</w:t>
      </w:r>
    </w:p>
    <w:p>
      <w:pPr>
        <w:pStyle w:val="FirstParagraph"/>
      </w:pPr>
      <w:r>
        <w:t xml:space="preserve">Despite strong growth, two persistent challenges require strategic intervention. First, the Dutch "Onderwijskwaliteit" (Education Quality) framework has recently increased documentation requirements for resource procurement. This has slowed sales cycles by 17 days on average for large municipal contracts in Amsterdam. Second, competition from local EdTech startups like "Amsterdam Leerkracht Tools" has intensified price sensitivity among smaller primary schools.</w:t>
      </w:r>
    </w:p>
    <w:p>
      <w:pPr>
        <w:pStyle w:val="BodyText"/>
      </w:pPr>
      <w:r>
        <w:t xml:space="preserve">The most significant hurdle remains cultural adaptation: While many national vendors offer generic resources, Amsterdam teachers require context-specific content. For instance, our initial English-language STEM kits were rejected by 63% of Amsterdam primary schools due to lack of Dutch curriculum alignment. Our localized solution - developing all materials with input from 120+</w:t>
      </w:r>
      <w:r>
        <w:t xml:space="preserve"> </w:t>
      </w:r>
      <w:r>
        <w:rPr>
          <w:iCs/>
          <w:i/>
        </w:rPr>
        <w:t xml:space="preserve">Teacher Primary</w:t>
      </w:r>
      <w:r>
        <w:t xml:space="preserve"> </w:t>
      </w:r>
      <w:r>
        <w:t xml:space="preserve">professionals across Amsterdam school districts - became the turning point for market penetration.</w:t>
      </w:r>
    </w:p>
    <w:bookmarkEnd w:id="25"/>
    <w:bookmarkStart w:id="26" w:name="strategic-recommendations-for-q4-2023"/>
    <w:p>
      <w:pPr>
        <w:pStyle w:val="Heading2"/>
      </w:pPr>
      <w:r>
        <w:t xml:space="preserve">Strategic Recommendations for Q4 2023</w:t>
      </w:r>
    </w:p>
    <w:p>
      <w:pPr>
        <w:pStyle w:val="FirstParagraph"/>
      </w:pPr>
      <w:r>
        <w:rPr>
          <w:bCs/>
          <w:b/>
        </w:rPr>
        <w:t xml:space="preserve">1. Launch Amsterdam-Specific Curriculum Hub:</w:t>
      </w:r>
      <w:r>
        <w:t xml:space="preserve"> </w:t>
      </w:r>
      <w:r>
        <w:t xml:space="preserve">Develop a dedicated portal featuring resources co-created with Amsterdam educators, including seasonal content aligned with local festivals (like King's Day activities) and geography-specific materials (Amsterdam canals, historical sites). This addresses the 74% of teachers who requested regionally relevant content.</w:t>
      </w:r>
    </w:p>
    <w:p>
      <w:pPr>
        <w:pStyle w:val="BodyText"/>
      </w:pPr>
      <w:r>
        <w:rPr>
          <w:bCs/>
          <w:b/>
        </w:rPr>
        <w:t xml:space="preserve">2. Implement School District Partnerships Program:</w:t>
      </w:r>
      <w:r>
        <w:t xml:space="preserve"> </w:t>
      </w:r>
      <w:r>
        <w:t xml:space="preserve">Create a formal collaboration framework with Amsterdam's three largest education districts to co-design resources. This will reduce procurement barriers and position us as an indispensable partner rather than a vendor.</w:t>
      </w:r>
    </w:p>
    <w:p>
      <w:pPr>
        <w:pStyle w:val="BodyText"/>
      </w:pPr>
      <w:r>
        <w:rPr>
          <w:bCs/>
          <w:b/>
        </w:rPr>
        <w:t xml:space="preserve">3. Optimize Digital Onboarding for Teacher Primary:</w:t>
      </w:r>
      <w:r>
        <w:t xml:space="preserve"> </w:t>
      </w:r>
      <w:r>
        <w:t xml:space="preserve">Streamline the registration process for teachers by integrating with the Dutch "DigiSchool" platform used by 92% of Amsterdam schools. This would eliminate manual data entry and increase conversion rates by an estimated 35%.</w:t>
      </w:r>
    </w:p>
    <w:p>
      <w:pPr>
        <w:pStyle w:val="BodyText"/>
      </w:pPr>
      <w:r>
        <w:rPr>
          <w:bCs/>
          <w:b/>
        </w:rPr>
        <w:t xml:space="preserve">4. Target Climate Education Expansion:</w:t>
      </w:r>
      <w:r>
        <w:t xml:space="preserve"> </w:t>
      </w:r>
      <w:r>
        <w:t xml:space="preserve">Leverage Amsterdam's municipal sustainability goals to develop carbon footprint tracking tools for primary classrooms, capitalizing on the city's "Climate Neutrality by 2030" initiative. Early pilot programs with 15 Amsterdam schools showed 89% teacher satisfaction rates.</w:t>
      </w:r>
    </w:p>
    <w:bookmarkEnd w:id="26"/>
    <w:bookmarkStart w:id="27" w:name="conclusion"/>
    <w:p>
      <w:pPr>
        <w:pStyle w:val="Heading2"/>
      </w:pPr>
      <w:r>
        <w:t xml:space="preserve">Conclusion</w:t>
      </w:r>
    </w:p>
    <w:p>
      <w:pPr>
        <w:pStyle w:val="FirstParagraph"/>
      </w:pPr>
      <w:r>
        <w:t xml:space="preserve">The Amsterdam primary education market represents a high-potential segment where our localized approach to</w:t>
      </w:r>
      <w:r>
        <w:t xml:space="preserve"> </w:t>
      </w:r>
      <w:r>
        <w:rPr>
          <w:iCs/>
          <w:i/>
        </w:rPr>
        <w:t xml:space="preserve">Teacher Primary</w:t>
      </w:r>
      <w:r>
        <w:t xml:space="preserve"> </w:t>
      </w:r>
      <w:r>
        <w:t xml:space="preserve">resource development has proven commercially viable. This</w:t>
      </w:r>
      <w:r>
        <w:t xml:space="preserve"> </w:t>
      </w:r>
      <w:r>
        <w:rPr>
          <w:iCs/>
          <w:i/>
        </w:rPr>
        <w:t xml:space="preserve">Sales Report</w:t>
      </w:r>
      <w:r>
        <w:t xml:space="preserve"> </w:t>
      </w:r>
      <w:r>
        <w:t xml:space="preserve">demonstrates that by deeply understanding the Netherlands Amsterdam educational ecosystem - from curriculum standards to cultural priorities - we've achieved sustainable growth where generic solutions fail. As Amsterdam continues its transformation into a leading European education innovation hub, our commitment to partnering with</w:t>
      </w:r>
      <w:r>
        <w:t xml:space="preserve"> </w:t>
      </w:r>
      <w:r>
        <w:rPr>
          <w:iCs/>
          <w:i/>
        </w:rPr>
        <w:t xml:space="preserve">Teacher Primary</w:t>
      </w:r>
      <w:r>
        <w:t xml:space="preserve"> </w:t>
      </w:r>
      <w:r>
        <w:t xml:space="preserve">professionals through co-creation will remain central to our market strategy.</w:t>
      </w:r>
    </w:p>
    <w:p>
      <w:pPr>
        <w:pStyle w:val="BodyText"/>
      </w:pPr>
      <w:r>
        <w:t xml:space="preserve">Looking ahead, we project 28% revenue growth for primary resources in Amsterdam by Q1 2024. Our success hinges on maintaining the delicate balance between national compliance and hyper-localized service - a capability that positions us uniquely within the Netherlands education landscape. The data clearly shows: When solutions are designed with Amsterdam's teachers in mind, they don't just sell - they become indispensable tools for daily classroom practice.</w:t>
      </w:r>
    </w:p>
    <w:p>
      <w:pPr>
        <w:pStyle w:val="BodyText"/>
      </w:pPr>
      <w:r>
        <w:t xml:space="preserve">This Sales Report is confidential to Educational Solutions International. Distribution requires written authorization.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Sales Performance Report - Amsterdam, Netherlands</dc:title>
  <dc:creator/>
  <dc:language>en</dc:language>
  <cp:keywords/>
  <dcterms:created xsi:type="dcterms:W3CDTF">2025-12-09T19:46:54Z</dcterms:created>
  <dcterms:modified xsi:type="dcterms:W3CDTF">2025-12-09T19:46:54Z</dcterms:modified>
</cp:coreProperties>
</file>

<file path=docProps/custom.xml><?xml version="1.0" encoding="utf-8"?>
<Properties xmlns="http://schemas.openxmlformats.org/officeDocument/2006/custom-properties" xmlns:vt="http://schemas.openxmlformats.org/officeDocument/2006/docPropsVTypes"/>
</file>