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9" w:name="X51f09bc532da8310f8593fd015472f1c1ff7372"/>
    <w:p>
      <w:pPr>
        <w:pStyle w:val="Heading1"/>
      </w:pPr>
      <w:r>
        <w:t xml:space="preserve">Comprehensive Sales Performance Report: Primary Education Solutions in Moscow, Russia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our primary education support services across the Moscow market during Q3 2023. Focused exclusively on empowering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professionals within Russian educational institutions, our solution suite has achieved remarkable traction in Moscow's competitive academic landscape. We report a 37% year-over-year sales growth, securing contracts with 148 primary schools (grades 1-4) across Moscow Oblast and the city proper. This success underscores the critical demand for specialized teacher development resources within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's evolving education ecosystem.</w:t>
      </w:r>
    </w:p>
    <w:bookmarkEnd w:id="20"/>
    <w:bookmarkStart w:id="21" w:name="Xac91f1d4814525e349717f854a6645a8e0fb5d1"/>
    <w:p>
      <w:pPr>
        <w:pStyle w:val="Heading2"/>
      </w:pPr>
      <w:r>
        <w:t xml:space="preserve">Market Context: Teacher Primary Needs in Russia Moscow</w:t>
      </w:r>
    </w:p>
    <w:p>
      <w:pPr>
        <w:pStyle w:val="FirstParagraph"/>
      </w:pPr>
      <w:r>
        <w:t xml:space="preserve">Following Russia's 2019 national education reform emphasizing personalized learning, Moscow's primary schools face unprecedented pressure to modernize pedagogy. The Ministry of Education's "Digital Education Strategy" targets 85% tech-integration in primary classrooms by 2025, creating urgent demand for teacher-centric solutions. Our market analysis reveals that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educators in Moscow spend an average of 18 hours weekly on manual lesson planning – a figure directly impacting curriculum innovation. The Moscow Department of Education's recent survey (Q1 2023) identified "lack of time-efficient pedagogical tools" as the top challenge for primary teachers, validating our sales approach.</w:t>
      </w:r>
    </w:p>
    <w:bookmarkEnd w:id="21"/>
    <w:bookmarkStart w:id="22" w:name="sales-performance-highlights"/>
    <w:p>
      <w:pPr>
        <w:pStyle w:val="Heading2"/>
      </w:pPr>
      <w:r>
        <w:t xml:space="preserve">Sales Performance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Sales (RUB)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Moscow Partnerships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Lesson Planner Suite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48,750,000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Moscow School #128 (District 3), New Moscow Primary Network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Teacher Professional Development Workshops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29,310,000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Moscow Institute of Pedagogy, 57 Primary Schools Cluster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Customizable Learning Analytics Dashboard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18,960,000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Moscow Educational District #3 (North), Central Moscow Academy</w:t>
            </w:r>
          </w:p>
        </w:tc>
      </w:tr>
    </w:tbl>
    <w:p>
      <w:pPr>
        <w:pStyle w:val="BodyText"/>
      </w:pPr>
      <w:r>
        <w:t xml:space="preserve">The Digital Lesson Planner Suite drove 52% of total revenue, directly addressing Moscow teachers' most acute pain point: reducing planning time by 40%. Our workshops achieved a 92% teacher satisfaction rate in Moscow post-session surveys, with educators citing "immediate classroom applicability" as the key differentiator. Notably, our contract with the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 </w:t>
      </w:r>
      <w:r>
        <w:t xml:space="preserve">Educational District #3 (serving 37 schools) represents our largest institutional deal to date – a testament to regional market trust.</w:t>
      </w:r>
    </w:p>
    <w:bookmarkEnd w:id="22"/>
    <w:bookmarkStart w:id="23" w:name="regional-sales-strategy-adaptation"/>
    <w:p>
      <w:pPr>
        <w:pStyle w:val="Heading2"/>
      </w:pPr>
      <w:r>
        <w:t xml:space="preserve">Regional Sales Strategy Adaptation</w:t>
      </w:r>
    </w:p>
    <w:p>
      <w:pPr>
        <w:pStyle w:val="FirstParagraph"/>
      </w:pPr>
      <w:r>
        <w:t xml:space="preserve">We refined our approach specifically for the Moscow context, recognizing unique regional requirements: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All content localized for Russian curriculum standards (FSES 2019), featuring Cyrillic interface, Russian case studies, and integration with national assessment frameworks.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Established Moscow-based support hub (Krasnogorsk) enabling same-day technical assistance – critical in a city where teacher workloads exceed 50-hour weeks.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Focus:</w:t>
      </w:r>
      <w:r>
        <w:t xml:space="preserve"> </w:t>
      </w:r>
      <w:r>
        <w:t xml:space="preserve">Certified for Russia's Federal Law 273-FZ on Education, ensuring all solutions meet Moscow school audit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Teacher-Centric Pricing:</w:t>
      </w:r>
      <w:r>
        <w:t xml:space="preserve"> </w:t>
      </w:r>
      <w:r>
        <w:t xml:space="preserve">Implemented "Tiered School Membership" pricing (1-50 teachers: 19,900 RUB/month; 51-200: 14,800 RUB/teacher) – directly increasing adoption among Moscow's budget-constrained primary schools.</w:t>
      </w:r>
    </w:p>
    <w:bookmarkEnd w:id="23"/>
    <w:bookmarkStart w:id="24" w:name="challenges-and-market-insights"/>
    <w:p>
      <w:pPr>
        <w:pStyle w:val="Heading2"/>
      </w:pPr>
      <w:r>
        <w:t xml:space="preserve">Challenges and Market Insights</w:t>
      </w:r>
    </w:p>
    <w:p>
      <w:pPr>
        <w:pStyle w:val="FirstParagraph"/>
      </w:pPr>
      <w:r>
        <w:t xml:space="preserve">Despite strong performance, we identified two critical challenges in the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Literacy Gaps:</w:t>
      </w:r>
      <w:r>
        <w:t xml:space="preserve"> </w:t>
      </w:r>
      <w:r>
        <w:t xml:space="preserve">31% of Moscow primary teachers require basic digital training before adopting our platforms. Our sales team now includes mandatory "Tech Onboarding" sessions – increasing platform retention by 27%.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Budget Cycles:</w:t>
      </w:r>
      <w:r>
        <w:t xml:space="preserve"> </w:t>
      </w:r>
      <w:r>
        <w:t xml:space="preserve">Moscow schools budget in April, causing Q3 (July-Sept) sales slumps. We shifted our marketing to focus on September teacher training events, aligning with Moscow's academic calendar.</w:t>
      </w:r>
    </w:p>
    <w:p>
      <w:pPr>
        <w:pStyle w:val="FirstParagraph"/>
      </w:pPr>
      <w:r>
        <w:t xml:space="preserve">Market insights reveal that "teacher recognition programs" (e.g., Moscow's 2023 "Pedagogue of the Year" awards) significantly accelerate sales cycles – we now bundle our products with award nomination support.</w:t>
      </w:r>
    </w:p>
    <w:bookmarkEnd w:id="24"/>
    <w:bookmarkStart w:id="25" w:name="Xc47ba70fc23556360f77f0de6183c98956c5be1"/>
    <w:p>
      <w:pPr>
        <w:pStyle w:val="Heading2"/>
      </w:pPr>
      <w:r>
        <w:t xml:space="preserve">Competitive Differentiation in Russia Moscow</w:t>
      </w:r>
    </w:p>
    <w:p>
      <w:pPr>
        <w:pStyle w:val="FirstParagraph"/>
      </w:pPr>
      <w:r>
        <w:t xml:space="preserve">While competitors offer generic edtech, our unique value proposition centers on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No.1 Localized Solution:</w:t>
      </w:r>
      <w:r>
        <w:t xml:space="preserve"> </w:t>
      </w:r>
      <w:r>
        <w:t xml:space="preserve">Only platform fully compliant with Moscow's 2023 School Management Guidelines.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Real-Time Feedback Loop:</w:t>
      </w:r>
      <w:r>
        <w:t xml:space="preserve"> </w:t>
      </w:r>
      <w:r>
        <w:t xml:space="preserve">Our Moscow-based pedagogy team reviews teacher-submitted lesson plans within 24 hours – a feature unmatched by international vendors.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Partnership:</w:t>
      </w:r>
      <w:r>
        <w:t xml:space="preserve"> </w:t>
      </w:r>
      <w:r>
        <w:t xml:space="preserve">Approved by Moscow's Education Department as a "Recommended Resource" for primary schools (Letter #145-EDU, March 2023).</w:t>
      </w:r>
    </w:p>
    <w:bookmarkEnd w:id="25"/>
    <w:bookmarkStart w:id="26" w:name="strategic-recommendations"/>
    <w:p>
      <w:pPr>
        <w:pStyle w:val="Heading2"/>
      </w:pPr>
      <w:r>
        <w:t xml:space="preserve">Strategic Recommendations</w:t>
      </w:r>
    </w:p>
    <w:p>
      <w:pPr>
        <w:pStyle w:val="FirstParagraph"/>
      </w:pPr>
      <w:r>
        <w:t xml:space="preserve">To capitalize on our momentum in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Teacher Ambassador Program:</w:t>
      </w:r>
      <w:r>
        <w:t xml:space="preserve"> </w:t>
      </w:r>
      <w:r>
        <w:t xml:space="preserve">Recruit 50 certified Moscow primary teachers as peer advocates – projected to generate 30% new leads via trusted referrals.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Leverage Government Tenders:</w:t>
      </w:r>
      <w:r>
        <w:t xml:space="preserve"> </w:t>
      </w:r>
      <w:r>
        <w:t xml:space="preserve">Target Moscow's upcoming "Smart School" infrastructure initiative (budget: 1.2 billion RUB), positioning our analytics dashboard as the mandatory teacher training component.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Russian Language AI Tutor:</w:t>
      </w:r>
      <w:r>
        <w:t xml:space="preserve"> </w:t>
      </w:r>
      <w:r>
        <w:t xml:space="preserve">Address the growing demand for conversational English practice in primary classrooms – a feature already requested by 83% of Moscow teachers in our Q3 survey.</w:t>
      </w:r>
    </w:p>
    <w:bookmarkEnd w:id="26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confirms that specialized solutions for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professionals represent the most strategic growth vector within Moscow's education market. Our focus on real classroom needs – not just technology – has positioned us as the partner of choice for over 150 Moscow schools. With Russia's ongoing education modernization, we project continued expansion: targeting 220 primary schools in Moscow by Q3 2024, representing a potential revenue increase of 58% from current levels.</w:t>
      </w:r>
    </w:p>
    <w:p>
      <w:pPr>
        <w:pStyle w:val="BodyText"/>
      </w:pPr>
      <w:r>
        <w:t xml:space="preserve">The success metrics are clear: When solutions are designed with Moscow's unique teacher challenges in mind, sales growth directly correlates with educational impact. We remain committed to being the indispensable partner for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excellence across</w:t>
      </w:r>
      <w:r>
        <w:t xml:space="preserve"> </w:t>
      </w:r>
      <w:r>
        <w:rPr>
          <w:iCs/>
          <w:i/>
        </w:rPr>
        <w:t xml:space="preserve">Russia Moscow</w:t>
      </w:r>
      <w:r>
        <w:t xml:space="preserve">.</w:t>
      </w:r>
    </w:p>
    <w:bookmarkStart w:id="27" w:name="appendix-key-metrics-moscow-market"/>
    <w:p>
      <w:pPr>
        <w:pStyle w:val="Heading3"/>
      </w:pPr>
      <w:r>
        <w:t xml:space="preserve">Appendix: Key Metrics (Moscow Market)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Total Schools Served:</w:t>
      </w:r>
      <w:r>
        <w:t xml:space="preserve"> </w:t>
      </w:r>
      <w:r>
        <w:t xml:space="preserve">148 (up from 108 YoY)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Average Contract Value:</w:t>
      </w:r>
      <w:r>
        <w:t xml:space="preserve"> </w:t>
      </w:r>
      <w:r>
        <w:t xml:space="preserve">267,900 RUB/school/year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Teacher Adoption Rate:</w:t>
      </w:r>
      <w:r>
        <w:t xml:space="preserve"> </w:t>
      </w:r>
      <w:r>
        <w:t xml:space="preserve">79% of enrolled schools (vs. industry avg. 63%)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Moscow Market Penetration:</w:t>
      </w:r>
      <w:r>
        <w:t xml:space="preserve"> </w:t>
      </w:r>
      <w:r>
        <w:t xml:space="preserve">8.2% (up from 5.4% in Q3 2022)</w:t>
      </w:r>
    </w:p>
    <w:p>
      <w:pPr>
        <w:pStyle w:val="FirstParagraph"/>
      </w:pPr>
      <w:r>
        <w:rPr>
          <w:iCs/>
          <w:i/>
        </w:rPr>
        <w:t xml:space="preserve">This Sales Report is strictly for internal use by Moscow Education Division and authorized partners within the Russian Federation.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Sales Report: Teacher Primary Services in Russia Moscow</dc:title>
  <dc:creator/>
  <dc:language>en</dc:language>
  <cp:keywords/>
  <dcterms:created xsi:type="dcterms:W3CDTF">2025-12-11T15:58:48Z</dcterms:created>
  <dcterms:modified xsi:type="dcterms:W3CDTF">2025-12-11T15:58:48Z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