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Primary</w:t>
      </w:r>
      <w:r>
        <w:t xml:space="preserve"> </w:t>
      </w:r>
      <w:r>
        <w:t xml:space="preserve">Teacher</w:t>
      </w:r>
      <w:r>
        <w:t xml:space="preserve"> </w:t>
      </w:r>
      <w:r>
        <w:t xml:space="preserve">Educational</w:t>
      </w:r>
      <w:r>
        <w:t xml:space="preserve"> </w:t>
      </w:r>
      <w:r>
        <w:t xml:space="preserve">Solutions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7c5634135064d2cac5b7b23181b91b89de378e5"/>
    <w:p>
      <w:pPr>
        <w:pStyle w:val="Heading1"/>
      </w:pPr>
      <w:r>
        <w:t xml:space="preserve">SALES REPORT</w:t>
      </w:r>
      <w:r>
        <w:br/>
      </w:r>
      <w:r>
        <w:t xml:space="preserve">PRIMARY TEACHER EDUCATIONAL SOLUTIONS IN SAINT PETERSBURG, RUSSIA</w:t>
      </w:r>
    </w:p>
    <w:p>
      <w:pPr>
        <w:pStyle w:val="FirstParagraph"/>
      </w:pPr>
      <w:r>
        <w:t xml:space="preserve">Prepared for Education Sector Leadership</w:t>
      </w:r>
      <w:r>
        <w:br/>
      </w:r>
      <w:r>
        <w:t xml:space="preserve">January 2024</w:t>
      </w:r>
    </w:p>
    <w:bookmarkStart w:id="20" w:name="executive-summary"/>
    <w:p>
      <w:pPr>
        <w:pStyle w:val="Heading2"/>
      </w:pPr>
      <w:r>
        <w:t xml:space="preserve">Executive Summary</w:t>
      </w:r>
    </w:p>
    <w:p>
      <w:pPr>
        <w:pStyle w:val="FirstParagraph"/>
      </w:pPr>
      <w:r>
        <w:t xml:space="preserve">This Sales Report details the performance of educational product and service offerings specifically designed for Primary Teachers within Saint Petersburg, Russia. The period under review spans Q4 2023 to Q1 2024, revealing significant growth in demand for curriculum-aligned teaching resources. Total sales reached ₽8.7 million during this period, representing a 37% increase year-over-year and exceeding regional targets by 15%. The Saint Petersburg market has emerged as Russia's second-largest hub for primary education innovation after Moscow, driven by the city's strategic investment in educational infrastructure under Governor Alexander Beglov's "Smart City Education" initiative. This report confirms that specialized Teacher Primary solutions are not just meeting but actively shaping the evolving pedagogical landscape across 127 municipal schools and 43 private institutions in Saint Petersburg.</w:t>
      </w:r>
    </w:p>
    <w:bookmarkEnd w:id="20"/>
    <w:bookmarkStart w:id="21" w:name="market-context-strategic-importance"/>
    <w:p>
      <w:pPr>
        <w:pStyle w:val="Heading2"/>
      </w:pPr>
      <w:r>
        <w:t xml:space="preserve">Market Context &amp; Strategic Importance</w:t>
      </w:r>
    </w:p>
    <w:p>
      <w:pPr>
        <w:pStyle w:val="FirstParagraph"/>
      </w:pPr>
      <w:r>
        <w:t xml:space="preserve">Saint Petersburg's education system serves over 400,000 primary students (ages 6-11), representing a critical demographic for educational suppliers. The Russian Ministry of Education's "National Project 'Education'" has intensified focus on primary teacher development, making Saint Petersburg a priority market due to its historical significance in Russian pedagogy and substantial municipal education budget (₽28 billion allocated for 2023-2024). Our analysis confirms that 78% of Primary Teachers in Saint Petersburg now require digital resources aligned with the Federal State Educational Standard (FSES) for primary education, creating a unique opportunity for targeted solutions. This report demonstrates how our Teacher Primary products are positioned as essential tools within this regulatory and pedagogical framework.</w:t>
      </w:r>
    </w:p>
    <w:bookmarkEnd w:id="21"/>
    <w:bookmarkStart w:id="24" w:name="sales-performance-breakdown"/>
    <w:p>
      <w:pPr>
        <w:pStyle w:val="Heading2"/>
      </w:pPr>
      <w:r>
        <w:t xml:space="preserve">Sales Performance Breakdown</w:t>
      </w:r>
    </w:p>
    <w:bookmarkStart w:id="22" w:name="X6c24425852bf40134f75ba750ecf0757589c425"/>
    <w:p>
      <w:pPr>
        <w:pStyle w:val="Heading3"/>
      </w:pPr>
      <w:r>
        <w:t xml:space="preserve">Product Category Performance (Q4 2023 - Q1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Growth vs. Previous Period</w:t>
            </w:r>
          </w:p>
        </w:tc>
      </w:tr>
      <w:tr>
        <w:tc>
          <w:tcPr/>
          <w:p>
            <w:pPr>
              <w:pStyle w:val="Compact"/>
              <w:jc w:val="left"/>
            </w:pPr>
            <w:r>
              <w:t xml:space="preserve">Digital Lesson Kits (FSES-aligned)</w:t>
            </w:r>
          </w:p>
        </w:tc>
        <w:tc>
          <w:tcPr/>
          <w:p>
            <w:pPr>
              <w:pStyle w:val="Compact"/>
              <w:jc w:val="left"/>
            </w:pPr>
            <w:r>
              <w:t xml:space="preserve">3,950,000</w:t>
            </w:r>
          </w:p>
        </w:tc>
        <w:tc>
          <w:tcPr/>
          <w:p>
            <w:pPr>
              <w:pStyle w:val="Compact"/>
              <w:jc w:val="left"/>
            </w:pPr>
            <w:r>
              <w:t xml:space="preserve">45.4%</w:t>
            </w:r>
          </w:p>
        </w:tc>
        <w:tc>
          <w:tcPr/>
          <w:p>
            <w:pPr>
              <w:pStyle w:val="Compact"/>
              <w:jc w:val="left"/>
            </w:pPr>
            <w:r>
              <w:t xml:space="preserve">+42% YoY</w:t>
            </w:r>
          </w:p>
        </w:tc>
      </w:tr>
      <w:tr>
        <w:tc>
          <w:tcPr/>
          <w:p>
            <w:pPr>
              <w:pStyle w:val="Compact"/>
              <w:jc w:val="left"/>
            </w:pPr>
            <w:r>
              <w:t xml:space="preserve">Interactive Classroom Platforms</w:t>
            </w:r>
          </w:p>
        </w:tc>
        <w:tc>
          <w:tcPr/>
          <w:p>
            <w:pPr>
              <w:pStyle w:val="Compact"/>
              <w:jc w:val="left"/>
            </w:pPr>
            <w:r>
              <w:t xml:space="preserve">2,675,000</w:t>
            </w:r>
          </w:p>
        </w:tc>
        <w:tc>
          <w:tcPr/>
          <w:p>
            <w:pPr>
              <w:pStyle w:val="Compact"/>
              <w:jc w:val="left"/>
            </w:pPr>
            <w:r>
              <w:t xml:space="preserve">30.7%</w:t>
            </w:r>
          </w:p>
        </w:tc>
        <w:tc>
          <w:tcPr/>
          <w:p>
            <w:pPr>
              <w:pStyle w:val="Compact"/>
              <w:jc w:val="left"/>
            </w:pPr>
            <w:r>
              <w:t xml:space="preserve">+51% YoY</w:t>
            </w:r>
          </w:p>
        </w:tc>
      </w:tr>
      <w:tr>
        <w:tc>
          <w:tcPr/>
          <w:p>
            <w:pPr>
              <w:pStyle w:val="Compact"/>
              <w:jc w:val="left"/>
            </w:pPr>
            <w:r>
              <w:t xml:space="preserve">Teacher Professional Development Courses</w:t>
            </w:r>
          </w:p>
        </w:tc>
        <w:tc>
          <w:tcPr/>
          <w:p>
            <w:pPr>
              <w:pStyle w:val="Compact"/>
              <w:jc w:val="left"/>
            </w:pPr>
            <w:r>
              <w:t xml:space="preserve">1,420,000</w:t>
            </w:r>
          </w:p>
        </w:tc>
        <w:tc>
          <w:tcPr/>
          <w:p>
            <w:pPr>
              <w:pStyle w:val="Compact"/>
              <w:jc w:val="left"/>
            </w:pPr>
            <w:r>
              <w:t xml:space="preserve">16.3%</w:t>
            </w:r>
          </w:p>
        </w:tc>
        <w:tc>
          <w:tcPr/>
          <w:p>
            <w:pPr>
              <w:pStyle w:val="Compact"/>
              <w:jc w:val="left"/>
            </w:pPr>
            <w:r>
              <w:t xml:space="preserve">+28% YoY</w:t>
            </w:r>
          </w:p>
        </w:tc>
      </w:tr>
      <w:tr>
        <w:tc>
          <w:tcPr/>
          <w:p>
            <w:pPr>
              <w:pStyle w:val="Compact"/>
              <w:jc w:val="left"/>
            </w:pPr>
            <w:r>
              <w:t xml:space="preserve">Physical Classroom Materials</w:t>
            </w:r>
          </w:p>
        </w:tc>
        <w:tc>
          <w:tcPr/>
          <w:p>
            <w:pPr>
              <w:pStyle w:val="Compact"/>
              <w:jc w:val="left"/>
            </w:pPr>
            <w:r>
              <w:t xml:space="preserve">655,000</w:t>
            </w:r>
          </w:p>
        </w:tc>
        <w:tc>
          <w:tcPr/>
          <w:p>
            <w:pPr>
              <w:pStyle w:val="Compact"/>
              <w:jc w:val="left"/>
            </w:pPr>
            <w:r>
              <w:t xml:space="preserve">7.5%</w:t>
            </w:r>
          </w:p>
        </w:tc>
        <w:tc>
          <w:tcPr/>
          <w:p>
            <w:pPr>
              <w:pStyle w:val="Compact"/>
              <w:jc w:val="left"/>
            </w:pPr>
            <w:r>
              <w:t xml:space="preserve">+12% YoY</w:t>
            </w:r>
          </w:p>
        </w:tc>
      </w:tr>
    </w:tbl>
    <w:bookmarkEnd w:id="22"/>
    <w:bookmarkStart w:id="23" w:name="Xbd19e91f112252784025a2df05a561890d88c12"/>
    <w:p>
      <w:pPr>
        <w:pStyle w:val="Heading3"/>
      </w:pPr>
      <w:r>
        <w:t xml:space="preserve">Geographic Penetration in Saint Petersburg</w:t>
      </w:r>
    </w:p>
    <w:p>
      <w:pPr>
        <w:pStyle w:val="FirstParagraph"/>
      </w:pPr>
      <w:r>
        <w:t xml:space="preserve">The Saint Petersburg market shows exceptional regional concentration with 76% of sales occurring within the city limits (vs. 58% in Moscow). Key growth areas include:</w:t>
      </w:r>
    </w:p>
    <w:p>
      <w:pPr>
        <w:numPr>
          <w:ilvl w:val="0"/>
          <w:numId w:val="1001"/>
        </w:numPr>
        <w:pStyle w:val="Compact"/>
      </w:pPr>
      <w:r>
        <w:rPr>
          <w:bCs/>
          <w:b/>
        </w:rPr>
        <w:t xml:space="preserve">North-West Districts (32% of sales):</w:t>
      </w:r>
      <w:r>
        <w:t xml:space="preserve"> </w:t>
      </w:r>
      <w:r>
        <w:t xml:space="preserve">Highest adoption in schools near Petrodvorets and Kolpino due to new municipal STEM initiatives.</w:t>
      </w:r>
    </w:p>
    <w:p>
      <w:pPr>
        <w:numPr>
          <w:ilvl w:val="0"/>
          <w:numId w:val="1001"/>
        </w:numPr>
        <w:pStyle w:val="Compact"/>
      </w:pPr>
      <w:r>
        <w:rPr>
          <w:bCs/>
          <w:b/>
        </w:rPr>
        <w:t xml:space="preserve">Leningradsky District (28% of sales):</w:t>
      </w:r>
      <w:r>
        <w:t xml:space="preserve"> </w:t>
      </w:r>
      <w:r>
        <w:t xml:space="preserve">Strong demand from private international schools following the 2023 "Global Educator" certification program.</w:t>
      </w:r>
    </w:p>
    <w:p>
      <w:pPr>
        <w:numPr>
          <w:ilvl w:val="0"/>
          <w:numId w:val="1001"/>
        </w:numPr>
        <w:pStyle w:val="Compact"/>
      </w:pPr>
      <w:r>
        <w:rPr>
          <w:bCs/>
          <w:b/>
        </w:rPr>
        <w:t xml:space="preserve">Admiralteysky District (19% of sales):</w:t>
      </w:r>
      <w:r>
        <w:t xml:space="preserve"> </w:t>
      </w:r>
      <w:r>
        <w:t xml:space="preserve">Central hub for primary teacher training at Saint Petersburg State University's Education Faculty.</w:t>
      </w:r>
    </w:p>
    <w:bookmarkEnd w:id="23"/>
    <w:bookmarkEnd w:id="24"/>
    <w:bookmarkStart w:id="25" w:name="X80df5ec3775ebf34e3abc70ce3e8742161f2e69"/>
    <w:p>
      <w:pPr>
        <w:pStyle w:val="Heading2"/>
      </w:pPr>
      <w:r>
        <w:t xml:space="preserve">Key Market Trends Driving Primary Teacher Demand</w:t>
      </w:r>
    </w:p>
    <w:p>
      <w:pPr>
        <w:pStyle w:val="FirstParagraph"/>
      </w:pPr>
      <w:r>
        <w:rPr>
          <w:bCs/>
          <w:b/>
        </w:rPr>
        <w:t xml:space="preserve">1. Regulatory Alignment:</w:t>
      </w:r>
      <w:r>
        <w:t xml:space="preserve"> </w:t>
      </w:r>
      <w:r>
        <w:t xml:space="preserve">The mandatory implementation of FSES-3 standards in all Saint Petersburg primary schools since September 2023 has created urgent demand for certified teaching materials. Our digital lesson kits, which include pre-validated activities for Russian language and mathematics curricula, now account for 45% of total sales.</w:t>
      </w:r>
    </w:p>
    <w:p>
      <w:pPr>
        <w:pStyle w:val="BodyText"/>
      </w:pPr>
      <w:r>
        <w:rPr>
          <w:bCs/>
          <w:b/>
        </w:rPr>
        <w:t xml:space="preserve">2. Digital Transformation Acceleration:</w:t>
      </w:r>
      <w:r>
        <w:t xml:space="preserve"> </w:t>
      </w:r>
      <w:r>
        <w:t xml:space="preserve">Governor Beglov's 2023 decree allocating ₽500 million to digital classrooms has driven a 67% surge in platform subscriptions. Teachers Primary users report saving an average of 8 hours weekly on lesson preparation, directly correlating with our highest-growth product category.</w:t>
      </w:r>
    </w:p>
    <w:p>
      <w:pPr>
        <w:pStyle w:val="BodyText"/>
      </w:pPr>
      <w:r>
        <w:rPr>
          <w:bCs/>
          <w:b/>
        </w:rPr>
        <w:t xml:space="preserve">3. Teacher Professionalization:</w:t>
      </w:r>
      <w:r>
        <w:t xml:space="preserve"> </w:t>
      </w:r>
      <w:r>
        <w:t xml:space="preserve">Saint Petersburg's Department of Education now requires all primary teachers to complete 40 hours of professional development annually. Our certified online courses (especially "Modern Pedagogy in Russian Primary Schools") have seen 92% retention rates among enrolled educators.</w:t>
      </w:r>
    </w:p>
    <w:bookmarkEnd w:id="25"/>
    <w:bookmarkStart w:id="26" w:name="challenges-strategic-opportunities"/>
    <w:p>
      <w:pPr>
        <w:pStyle w:val="Heading2"/>
      </w:pPr>
      <w:r>
        <w:t xml:space="preserve">Challenges &amp; Strategic Opportunities</w:t>
      </w:r>
    </w:p>
    <w:p>
      <w:pPr>
        <w:pStyle w:val="FirstParagraph"/>
      </w:pPr>
      <w:r>
        <w:t xml:space="preserve">While growth is robust, two challenges require immediate attention:</w:t>
      </w:r>
    </w:p>
    <w:p>
      <w:pPr>
        <w:numPr>
          <w:ilvl w:val="0"/>
          <w:numId w:val="1002"/>
        </w:numPr>
        <w:pStyle w:val="Compact"/>
      </w:pPr>
      <w:r>
        <w:rPr>
          <w:bCs/>
          <w:b/>
        </w:rPr>
        <w:t xml:space="preserve">Logistics in Regional Districts:</w:t>
      </w:r>
      <w:r>
        <w:t xml:space="preserve"> </w:t>
      </w:r>
      <w:r>
        <w:t xml:space="preserve">Delivery delays to schools in Pushkin and Krasnoselskoye districts (32% of unfulfilled orders) necessitate partnering with local logistics providers like "PiterExpress".</w:t>
      </w:r>
    </w:p>
    <w:p>
      <w:pPr>
        <w:numPr>
          <w:ilvl w:val="0"/>
          <w:numId w:val="1002"/>
        </w:numPr>
        <w:pStyle w:val="Compact"/>
      </w:pPr>
      <w:r>
        <w:rPr>
          <w:bCs/>
          <w:b/>
        </w:rPr>
        <w:t xml:space="preserve">Cultural Adaptation:</w:t>
      </w:r>
      <w:r>
        <w:t xml:space="preserve"> </w:t>
      </w:r>
      <w:r>
        <w:t xml:space="preserve">68% of teachers requested more Slavic folklore integration into digital materials. We are piloting a new "Russian Cultural Heritage" module in collaboration with the State Hermitage Museum.</w:t>
      </w:r>
    </w:p>
    <w:p>
      <w:pPr>
        <w:pStyle w:val="FirstParagraph"/>
      </w:pPr>
      <w:r>
        <w:t xml:space="preserve">Strategic opportunities include:</w:t>
      </w:r>
    </w:p>
    <w:p>
      <w:pPr>
        <w:numPr>
          <w:ilvl w:val="0"/>
          <w:numId w:val="1003"/>
        </w:numPr>
        <w:pStyle w:val="Compact"/>
      </w:pPr>
      <w:r>
        <w:t xml:space="preserve">Expanding into Saint Petersburg's rapidly growing private school sector (23 new institutions launched in 2023)</w:t>
      </w:r>
    </w:p>
    <w:p>
      <w:pPr>
        <w:numPr>
          <w:ilvl w:val="0"/>
          <w:numId w:val="1003"/>
        </w:numPr>
        <w:pStyle w:val="Compact"/>
      </w:pPr>
      <w:r>
        <w:t xml:space="preserve">Developing mobile-first solutions for teachers in remote schools along the Volkhov River</w:t>
      </w:r>
    </w:p>
    <w:p>
      <w:pPr>
        <w:numPr>
          <w:ilvl w:val="0"/>
          <w:numId w:val="1003"/>
        </w:numPr>
        <w:pStyle w:val="Compact"/>
      </w:pPr>
      <w:r>
        <w:t xml:space="preserve">Partnering with "PiterSCHOOL" initiative for subsidized teacher training programs</w:t>
      </w:r>
    </w:p>
    <w:bookmarkEnd w:id="26"/>
    <w:bookmarkStart w:id="27" w:name="conclusion-forward-strategy"/>
    <w:p>
      <w:pPr>
        <w:pStyle w:val="Heading2"/>
      </w:pPr>
      <w:r>
        <w:t xml:space="preserve">Conclusion &amp; Forward Strategy</w:t>
      </w:r>
    </w:p>
    <w:p>
      <w:pPr>
        <w:pStyle w:val="FirstParagraph"/>
      </w:pPr>
      <w:r>
        <w:t xml:space="preserve">The Sales Report confirms that our Teacher Primary offerings have achieved critical market relevance in Russia's Saint Petersburg education ecosystem. The city's unique blend of historical pedagogical tradition and digital modernization has created a fertile ground for specialized educational solutions. Crucially, this market is not merely responding to demand—we are actively influencing the national primary teaching standard through our FSES-aligned products.</w:t>
      </w:r>
    </w:p>
    <w:p>
      <w:pPr>
        <w:pStyle w:val="BodyText"/>
      </w:pPr>
      <w:r>
        <w:t xml:space="preserve">As Saint Petersburg moves toward its 2025 goal of "100% digital-first primary classrooms", we project a 45% sales increase for 2024. Our strategy will prioritize:</w:t>
      </w:r>
    </w:p>
    <w:p>
      <w:pPr>
        <w:numPr>
          <w:ilvl w:val="0"/>
          <w:numId w:val="1004"/>
        </w:numPr>
        <w:pStyle w:val="Compact"/>
      </w:pPr>
      <w:r>
        <w:t xml:space="preserve">Launching a Saint Petersburg-specific teacher community platform with localized content</w:t>
      </w:r>
    </w:p>
    <w:p>
      <w:pPr>
        <w:numPr>
          <w:ilvl w:val="0"/>
          <w:numId w:val="1004"/>
        </w:numPr>
        <w:pStyle w:val="Compact"/>
      </w:pPr>
      <w:r>
        <w:t xml:space="preserve">Expanding partnerships with municipal education departments for bulk procurement contracts</w:t>
      </w:r>
    </w:p>
    <w:p>
      <w:pPr>
        <w:numPr>
          <w:ilvl w:val="0"/>
          <w:numId w:val="1004"/>
        </w:numPr>
        <w:pStyle w:val="Compact"/>
      </w:pPr>
      <w:r>
        <w:t xml:space="preserve">Developing Russian-language AI tools that adapt to individual student learning paces in primary classrooms</w:t>
      </w:r>
    </w:p>
    <w:p>
      <w:pPr>
        <w:pStyle w:val="FirstParagraph"/>
      </w:pPr>
      <w:r>
        <w:t xml:space="preserve">In conclusion, this Sales Report demonstrates that focused Teacher Primary solutions are not just selling well—they are becoming indispensable to Saint Petersburg's educational transformation. Our success here validates a replicable model for Russia's education market while positioning us at the forefront of modern pedagogy in the nation's second-largest city. The data unequivocally confirms: in Russia, Saint Petersburg is where primary education innovation is being written today.</w:t>
      </w:r>
    </w:p>
    <w:p>
      <w:pPr>
        <w:pStyle w:val="BodyText"/>
      </w:pPr>
      <w:r>
        <w:rPr>
          <w:bCs/>
          <w:b/>
        </w:rPr>
        <w:t xml:space="preserve">Report Prepared By:</w:t>
      </w:r>
      <w:r>
        <w:t xml:space="preserve"> </w:t>
      </w:r>
      <w:r>
        <w:t xml:space="preserve">Regional Sales Analytics Team</w:t>
      </w:r>
      <w:r>
        <w:br/>
      </w:r>
      <w:r>
        <w:rPr>
          <w:bCs/>
          <w:b/>
        </w:rPr>
        <w:t xml:space="preserve">Date:</w:t>
      </w:r>
      <w:r>
        <w:t xml:space="preserve"> </w:t>
      </w:r>
      <w:r>
        <w:t xml:space="preserve">January 28, 2024</w:t>
      </w:r>
      <w:r>
        <w:br/>
      </w:r>
      <w:r>
        <w:rPr>
          <w:bCs/>
          <w:b/>
        </w:rPr>
        <w:t xml:space="preserve">Sales Report for Teacher Primary Solutions in Russia Saint Petersburg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Primary Teacher Educational Solutions in Saint Petersburg, Russia</dc:title>
  <dc:creator/>
  <dc:language>en</dc:language>
  <cp:keywords/>
  <dcterms:created xsi:type="dcterms:W3CDTF">2026-07-24T13:23:01Z</dcterms:created>
  <dcterms:modified xsi:type="dcterms:W3CDTF">2026-07-24T13:23:01Z</dcterms:modified>
</cp:coreProperties>
</file>

<file path=docProps/custom.xml><?xml version="1.0" encoding="utf-8"?>
<Properties xmlns="http://schemas.openxmlformats.org/officeDocument/2006/custom-properties" xmlns:vt="http://schemas.openxmlformats.org/officeDocument/2006/docPropsVTypes"/>
</file>