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8" w:name="X904271469f6e349771e040e192b4bad47d9e4a3"/>
    <w:p>
      <w:pPr>
        <w:pStyle w:val="Heading1"/>
      </w:pPr>
      <w:r>
        <w:t xml:space="preserve">TEACHER PRIMARY SALES REPORT</w:t>
      </w:r>
      <w:r>
        <w:br/>
      </w:r>
      <w:r>
        <w:t xml:space="preserve">ANNUAL PERFORMANCE ANALYSIS FOR SINGAPORE SINGAPORE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Education Singapore |</w:t>
      </w:r>
      <w:r>
        <w:t xml:space="preserve"> </w:t>
      </w:r>
      <w:r>
        <w:rPr>
          <w:bCs/>
          <w:b/>
        </w:rPr>
        <w:t xml:space="preserve">Report Period:</w:t>
      </w:r>
      <w:r>
        <w:t xml:space="preserve"> </w:t>
      </w:r>
      <w:r>
        <w:t xml:space="preserve">January - September 2023</w:t>
      </w:r>
    </w:p>
    <w:bookmarkStart w:id="20" w:name="executive-summary"/>
    <w:p>
      <w:pPr>
        <w:pStyle w:val="Heading2"/>
      </w:pPr>
      <w:r>
        <w:t xml:space="preserve">Executive Summary</w:t>
      </w:r>
    </w:p>
    <w:p>
      <w:pPr>
        <w:pStyle w:val="FirstParagraph"/>
      </w:pPr>
      <w:r>
        <w:t xml:space="preserve">This comprehensive Sales Report details the recruitment, deployment, and retention performance metrics for Primary Teachers across Singapore Singapore. As the cornerstone of Singapore's education ecosystem, primary teaching positions represent 42% of all teaching vacancies in the national school network. Our strategic sales approach has resulted in a 15% year-on-year increase in qualified Teacher Primary placements during Q1-Q3 2023, exceeding our target by 7%. This report validates our market positioning as the premier recruitment partner for Singapore's educational institutions seeking dedicated primary educators.</w:t>
      </w:r>
    </w:p>
    <w:bookmarkEnd w:id="20"/>
    <w:bookmarkStart w:id="21" w:name="X514b07303ec98ab5bbabac0961b945093dcc391"/>
    <w:p>
      <w:pPr>
        <w:pStyle w:val="Heading2"/>
      </w:pPr>
      <w:r>
        <w:t xml:space="preserve">Market Landscape: Teacher Primary Demand in Singapore Singapore</w:t>
      </w:r>
    </w:p>
    <w:p>
      <w:pPr>
        <w:pStyle w:val="FirstParagraph"/>
      </w:pPr>
      <w:r>
        <w:t xml:space="preserve">Singapore's education landscape continues to prioritize early childhood development, with primary schools accounting for 58% of all national schools. The demand surge stems from two critical factors:</w:t>
      </w:r>
    </w:p>
    <w:p>
      <w:pPr>
        <w:numPr>
          <w:ilvl w:val="0"/>
          <w:numId w:val="1001"/>
        </w:numPr>
        <w:pStyle w:val="Compact"/>
      </w:pPr>
      <w:r>
        <w:rPr>
          <w:bCs/>
          <w:b/>
        </w:rPr>
        <w:t xml:space="preserve">Demographic Shifts:</w:t>
      </w:r>
      <w:r>
        <w:t xml:space="preserve"> </w:t>
      </w:r>
      <w:r>
        <w:t xml:space="preserve">Rising birth rates necessitate +1,200 new primary teaching positions in Singapore Singapore by 2025 (Ministry of Education, Q3 Data)</w:t>
      </w:r>
    </w:p>
    <w:p>
      <w:pPr>
        <w:numPr>
          <w:ilvl w:val="0"/>
          <w:numId w:val="1001"/>
        </w:numPr>
        <w:pStyle w:val="Compact"/>
      </w:pPr>
      <w:r>
        <w:rPr>
          <w:bCs/>
          <w:b/>
        </w:rPr>
        <w:t xml:space="preserve">National Initiatives:</w:t>
      </w:r>
      <w:r>
        <w:t xml:space="preserve"> </w:t>
      </w:r>
      <w:r>
        <w:t xml:space="preserve">"Teach Less, Learn More" and STEM integration programs require specialized Teacher Primary profiles with digital pedagogy certifications</w:t>
      </w:r>
    </w:p>
    <w:p>
      <w:pPr>
        <w:pStyle w:val="FirstParagraph"/>
      </w:pPr>
      <w:r>
        <w:t xml:space="preserve">Our market analysis confirms that Singapore Singapore has become the highest-demand hub for early-grade educators in Southeast Asia, with vacancies growing at 8.3% annually—significantly outpacing regional averages.</w:t>
      </w:r>
    </w:p>
    <w:bookmarkEnd w:id="21"/>
    <w:bookmarkStart w:id="22" w:name="X625c84cc4c5cbafd5650aec1057e989fc6c1a23"/>
    <w:p>
      <w:pPr>
        <w:pStyle w:val="Heading2"/>
      </w:pPr>
      <w:r>
        <w:t xml:space="preserve">Sales Performance Metrics: Primary Teacher Recruitment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Performance Indicator</w:t>
            </w:r>
          </w:p>
        </w:tc>
        <w:tc>
          <w:tcPr/>
          <w:p>
            <w:pPr>
              <w:pStyle w:val="Compact"/>
              <w:jc w:val="left"/>
            </w:pPr>
            <w:r>
              <w:t xml:space="preserve">2022 Actual</w:t>
            </w:r>
          </w:p>
        </w:tc>
        <w:tc>
          <w:tcPr/>
          <w:p>
            <w:pPr>
              <w:pStyle w:val="Compact"/>
              <w:jc w:val="left"/>
            </w:pPr>
            <w:r>
              <w:t xml:space="preserve">2023 Target</w:t>
            </w:r>
          </w:p>
        </w:tc>
        <w:tc>
          <w:tcPr/>
          <w:p>
            <w:pPr>
              <w:pStyle w:val="Compact"/>
              <w:jc w:val="left"/>
            </w:pPr>
            <w:r>
              <w:t xml:space="preserve">Q1-Q3 2023 Result</w:t>
            </w:r>
          </w:p>
        </w:tc>
        <w:tc>
          <w:tcPr/>
          <w:p>
            <w:pPr>
              <w:pStyle w:val="Compact"/>
              <w:jc w:val="left"/>
            </w:pPr>
            <w:r>
              <w:t xml:space="preserve">Variance (%)</w:t>
            </w:r>
          </w:p>
        </w:tc>
      </w:tr>
      <w:tr>
        <w:tc>
          <w:tcPr/>
          <w:p>
            <w:pPr>
              <w:pStyle w:val="Compact"/>
              <w:jc w:val="left"/>
            </w:pPr>
            <w:r>
              <w:t xml:space="preserve">Teacher Primary Vacancies Filled</w:t>
            </w:r>
          </w:p>
        </w:tc>
        <w:tc>
          <w:tcPr/>
          <w:p>
            <w:pPr>
              <w:pStyle w:val="Compact"/>
              <w:jc w:val="left"/>
            </w:pPr>
            <w:r>
              <w:t xml:space="preserve">1,240</w:t>
            </w:r>
          </w:p>
        </w:tc>
        <w:tc>
          <w:tcPr/>
          <w:p>
            <w:pPr>
              <w:pStyle w:val="Compact"/>
              <w:jc w:val="left"/>
            </w:pPr>
            <w:r>
              <w:t xml:space="preserve">1,450</w:t>
            </w:r>
          </w:p>
        </w:tc>
        <w:tc>
          <w:tcPr/>
          <w:p>
            <w:pPr>
              <w:pStyle w:val="Compact"/>
              <w:jc w:val="left"/>
            </w:pPr>
            <w:r>
              <w:rPr>
                <w:bCs/>
                <w:b/>
              </w:rPr>
              <w:t xml:space="preserve">1,567</w:t>
            </w:r>
          </w:p>
        </w:tc>
        <w:tc>
          <w:tcPr/>
          <w:p>
            <w:pPr>
              <w:pStyle w:val="Compact"/>
              <w:jc w:val="left"/>
            </w:pPr>
            <w:r>
              <w:t xml:space="preserve">+8.1%</w:t>
            </w:r>
          </w:p>
        </w:tc>
      </w:tr>
      <w:tr>
        <w:tc>
          <w:tcPr/>
          <w:p>
            <w:pPr>
              <w:pStyle w:val="Compact"/>
              <w:jc w:val="left"/>
            </w:pPr>
            <w:r>
              <w:t xml:space="preserve">Time-to-Fill (Days)</w:t>
            </w:r>
          </w:p>
        </w:tc>
        <w:tc>
          <w:tcPr/>
          <w:p>
            <w:pPr>
              <w:pStyle w:val="Compact"/>
              <w:jc w:val="left"/>
            </w:pPr>
            <w:r>
              <w:t xml:space="preserve">47</w:t>
            </w:r>
          </w:p>
        </w:tc>
        <w:tc>
          <w:tcPr/>
          <w:p>
            <w:pPr>
              <w:pStyle w:val="Compact"/>
              <w:jc w:val="left"/>
            </w:pPr>
            <w:r>
              <w:t xml:space="preserve">40</w:t>
            </w:r>
          </w:p>
        </w:tc>
        <w:tc>
          <w:tcPr/>
          <w:p>
            <w:pPr>
              <w:pStyle w:val="Compact"/>
              <w:jc w:val="left"/>
            </w:pPr>
            <w:r>
              <w:rPr>
                <w:bCs/>
                <w:b/>
              </w:rPr>
              <w:t xml:space="preserve">36</w:t>
            </w:r>
          </w:p>
        </w:tc>
        <w:tc>
          <w:tcPr/>
          <w:p>
            <w:pPr>
              <w:pStyle w:val="Compact"/>
              <w:jc w:val="left"/>
            </w:pPr>
            <w:r>
              <w:t xml:space="preserve">-10.5%</w:t>
            </w:r>
          </w:p>
        </w:tc>
      </w:tr>
      <w:tr>
        <w:tc>
          <w:tcPr/>
          <w:p>
            <w:pPr>
              <w:pStyle w:val="Compact"/>
              <w:jc w:val="left"/>
            </w:pPr>
            <w:r>
              <w:t xml:space="preserve">Retention Rate (90-Day)</w:t>
            </w:r>
          </w:p>
        </w:tc>
        <w:tc>
          <w:tcPr/>
          <w:p>
            <w:pPr>
              <w:pStyle w:val="Compact"/>
              <w:jc w:val="left"/>
            </w:pPr>
            <w:r>
              <w:t xml:space="preserve">82%</w:t>
            </w:r>
          </w:p>
        </w:tc>
        <w:tc>
          <w:tcPr/>
          <w:p>
            <w:pPr>
              <w:pStyle w:val="Compact"/>
              <w:jc w:val="left"/>
            </w:pPr>
            <w:r>
              <w:t xml:space="preserve">85%</w:t>
            </w:r>
          </w:p>
        </w:tc>
        <w:tc>
          <w:tcPr/>
          <w:p>
            <w:pPr>
              <w:pStyle w:val="Compact"/>
              <w:jc w:val="left"/>
            </w:pPr>
            <w:r>
              <w:rPr>
                <w:bCs/>
                <w:b/>
              </w:rPr>
              <w:t xml:space="preserve">87.3%</w:t>
            </w:r>
          </w:p>
        </w:tc>
        <w:tc>
          <w:tcPr/>
          <w:p>
            <w:pPr>
              <w:pStyle w:val="Compact"/>
              <w:jc w:val="left"/>
            </w:pPr>
            <w:r>
              <w:t xml:space="preserve">+2.3%</w:t>
            </w:r>
          </w:p>
        </w:tc>
      </w:tr>
      <w:tr>
        <w:tc>
          <w:tcPr/>
          <w:p>
            <w:pPr>
              <w:pStyle w:val="Compact"/>
              <w:jc w:val="left"/>
            </w:pPr>
            <w:r>
              <w:t xml:space="preserve">New Teacher Primary Placements</w:t>
            </w:r>
          </w:p>
        </w:tc>
        <w:tc>
          <w:tcPr/>
          <w:p>
            <w:pPr>
              <w:pStyle w:val="Compact"/>
              <w:jc w:val="left"/>
            </w:pPr>
            <w:r>
              <w:t xml:space="preserve">1,105</w:t>
            </w:r>
          </w:p>
        </w:tc>
        <w:tc>
          <w:tcPr/>
          <w:p>
            <w:pPr>
              <w:pStyle w:val="Compact"/>
              <w:jc w:val="left"/>
            </w:pPr>
            <w:r>
              <w:t xml:space="preserve">1,280</w:t>
            </w:r>
          </w:p>
        </w:tc>
        <w:tc>
          <w:tcPr/>
          <w:p>
            <w:pPr>
              <w:pStyle w:val="Compact"/>
              <w:jc w:val="left"/>
            </w:pPr>
            <w:r>
              <w:rPr>
                <w:bCs/>
                <w:b/>
              </w:rPr>
              <w:t xml:space="preserve">1,364</w:t>
            </w:r>
          </w:p>
        </w:tc>
        <w:tc>
          <w:tcPr/>
          <w:p>
            <w:pPr>
              <w:pStyle w:val="Compact"/>
              <w:jc w:val="left"/>
            </w:pPr>
            <w:r>
              <w:t xml:space="preserve">+6.5%</w:t>
            </w:r>
          </w:p>
        </w:tc>
      </w:tr>
    </w:tbl>
    <w:p>
      <w:pPr>
        <w:pStyle w:val="BodyText"/>
      </w:pPr>
      <w:r>
        <w:t xml:space="preserve">The 2023 results demonstrate exceptional performance across all metrics, particularly in the critical area of Teacher Primary retention—a direct reflection of our stringent candidate assessment protocols aligned with Singapore Singapore's educational values.</w:t>
      </w:r>
    </w:p>
    <w:bookmarkEnd w:id="22"/>
    <w:bookmarkStart w:id="23" w:name="X1f97207e7275e60d8de0e6dced2e45913c6466c"/>
    <w:p>
      <w:pPr>
        <w:pStyle w:val="Heading2"/>
      </w:pPr>
      <w:r>
        <w:t xml:space="preserve">Strategic Sales Approach: How We Deliver for Singapore Schools</w:t>
      </w:r>
    </w:p>
    <w:p>
      <w:pPr>
        <w:pStyle w:val="FirstParagraph"/>
      </w:pPr>
      <w:r>
        <w:t xml:space="preserve">Our unique sales methodology focuses on three pillars essential to the Teacher Primary recruitment market in Singapore Singapore:</w:t>
      </w:r>
    </w:p>
    <w:p>
      <w:pPr>
        <w:numPr>
          <w:ilvl w:val="0"/>
          <w:numId w:val="1002"/>
        </w:numPr>
        <w:pStyle w:val="Compact"/>
      </w:pPr>
      <w:r>
        <w:rPr>
          <w:bCs/>
          <w:b/>
        </w:rPr>
        <w:t xml:space="preserve">Cultural Alignment Assessment:</w:t>
      </w:r>
      <w:r>
        <w:t xml:space="preserve"> </w:t>
      </w:r>
      <w:r>
        <w:t xml:space="preserve">We deploy MOE-aligned competency frameworks to match candidates with school ethos. In Singapore Singapore, we've recorded a 94% cultural fit rate among placed Teacher Primary educators.</w:t>
      </w:r>
    </w:p>
    <w:p>
      <w:pPr>
        <w:numPr>
          <w:ilvl w:val="0"/>
          <w:numId w:val="1002"/>
        </w:numPr>
        <w:pStyle w:val="Compact"/>
      </w:pPr>
      <w:r>
        <w:rPr>
          <w:bCs/>
          <w:b/>
        </w:rPr>
        <w:t xml:space="preserve">Digital Recruitment Channel Integration:</w:t>
      </w:r>
      <w:r>
        <w:t xml:space="preserve"> </w:t>
      </w:r>
      <w:r>
        <w:t xml:space="preserve">Leveraging the SkillsFuture platform and MOE's SchoolLink portal, we reduced time-to-hire by 22% through AI-driven candidate matching for primary teaching roles across Singapore Singapore schools.</w:t>
      </w:r>
    </w:p>
    <w:p>
      <w:pPr>
        <w:numPr>
          <w:ilvl w:val="0"/>
          <w:numId w:val="1002"/>
        </w:numPr>
        <w:pStyle w:val="Compact"/>
      </w:pPr>
      <w:r>
        <w:rPr>
          <w:bCs/>
          <w:b/>
        </w:rPr>
        <w:t xml:space="preserve">Post-Placement Support Ecosystem:</w:t>
      </w:r>
      <w:r>
        <w:t xml:space="preserve"> </w:t>
      </w:r>
      <w:r>
        <w:t xml:space="preserve">Our dedicated Teacher Primary onboarding team provides continuous professional development support—a key differentiator in Singapore Singapore's competitive education market, directly contributing to our industry-leading retention rates.</w:t>
      </w:r>
    </w:p>
    <w:bookmarkEnd w:id="23"/>
    <w:bookmarkStart w:id="24" w:name="X046dbc44dc79f9822fcd2e42f172675cf7abe20"/>
    <w:p>
      <w:pPr>
        <w:pStyle w:val="Heading2"/>
      </w:pPr>
      <w:r>
        <w:t xml:space="preserve">Geographic Sales Distribution: Primary Teacher Deployment Across Singapore</w:t>
      </w:r>
    </w:p>
    <w:p>
      <w:pPr>
        <w:pStyle w:val="FirstParagraph"/>
      </w:pPr>
      <w:r>
        <w:t xml:space="preserve">Our sales data reveals strategic deployment patterns reflecting Singapore Singapore's educational distribution:</w:t>
      </w:r>
    </w:p>
    <w:p>
      <w:pPr>
        <w:numPr>
          <w:ilvl w:val="0"/>
          <w:numId w:val="1003"/>
        </w:numPr>
        <w:pStyle w:val="Compact"/>
      </w:pPr>
      <w:r>
        <w:rPr>
          <w:bCs/>
          <w:b/>
        </w:rPr>
        <w:t xml:space="preserve">Central Region:</w:t>
      </w:r>
      <w:r>
        <w:t xml:space="preserve"> </w:t>
      </w:r>
      <w:r>
        <w:t xml:space="preserve">Highest demand (42% of placements) driven by new integrated schools in Tampines and Ang Mo Kio, requiring Teacher Primary specialists in bilingual education</w:t>
      </w:r>
    </w:p>
    <w:p>
      <w:pPr>
        <w:numPr>
          <w:ilvl w:val="0"/>
          <w:numId w:val="1003"/>
        </w:numPr>
        <w:pStyle w:val="Compact"/>
      </w:pPr>
      <w:r>
        <w:rPr>
          <w:bCs/>
          <w:b/>
        </w:rPr>
        <w:t xml:space="preserve">East Coast:</w:t>
      </w:r>
      <w:r>
        <w:t xml:space="preserve"> </w:t>
      </w:r>
      <w:r>
        <w:t xml:space="preserve">28% market share with strong need for STEM-focused Primary Teachers at Pasir Ris and Bedok institutions</w:t>
      </w:r>
    </w:p>
    <w:p>
      <w:pPr>
        <w:numPr>
          <w:ilvl w:val="0"/>
          <w:numId w:val="1003"/>
        </w:numPr>
        <w:pStyle w:val="Compact"/>
      </w:pPr>
      <w:r>
        <w:rPr>
          <w:bCs/>
          <w:b/>
        </w:rPr>
        <w:t xml:space="preserve">West Region:</w:t>
      </w:r>
      <w:r>
        <w:t xml:space="preserve"> </w:t>
      </w:r>
      <w:r>
        <w:t xml:space="preserve">18% placements serving Jurong West and Pioneer schools emphasizing community-based learning approaches</w:t>
      </w:r>
    </w:p>
    <w:p>
      <w:pPr>
        <w:numPr>
          <w:ilvl w:val="0"/>
          <w:numId w:val="1003"/>
        </w:numPr>
        <w:pStyle w:val="Compact"/>
      </w:pPr>
      <w:r>
        <w:rPr>
          <w:bCs/>
          <w:b/>
        </w:rPr>
        <w:t xml:space="preserve">North Region:</w:t>
      </w:r>
      <w:r>
        <w:t xml:space="preserve"> </w:t>
      </w:r>
      <w:r>
        <w:t xml:space="preserve">12% growth in Teacher Primary positions supporting new primary campuses in Sembawang and Yishun</w:t>
      </w:r>
    </w:p>
    <w:p>
      <w:pPr>
        <w:pStyle w:val="FirstParagraph"/>
      </w:pPr>
      <w:r>
        <w:t xml:space="preserve">This geographic precision ensures optimal Teacher Primary deployment across every corner of Singapore Singapore, addressing localized educational needs while maintaining national standards.</w:t>
      </w:r>
    </w:p>
    <w:bookmarkEnd w:id="24"/>
    <w:bookmarkStart w:id="25" w:name="X33b3073698b5fee4264df87cdddda1bc705dc9f"/>
    <w:p>
      <w:pPr>
        <w:pStyle w:val="Heading2"/>
      </w:pPr>
      <w:r>
        <w:t xml:space="preserve">Competitive Differentiation: Why Schools Choose Our Teacher Primary Solutions</w:t>
      </w:r>
    </w:p>
    <w:p>
      <w:pPr>
        <w:pStyle w:val="FirstParagraph"/>
      </w:pPr>
      <w:r>
        <w:t xml:space="preserve">Our sales positioning in the Singapore Singapore market is distinct through:</w:t>
      </w:r>
    </w:p>
    <w:p>
      <w:pPr>
        <w:numPr>
          <w:ilvl w:val="0"/>
          <w:numId w:val="1004"/>
        </w:numPr>
        <w:pStyle w:val="Compact"/>
      </w:pPr>
      <w:r>
        <w:rPr>
          <w:bCs/>
          <w:b/>
        </w:rPr>
        <w:t xml:space="preserve">MOE Certification Compliance:</w:t>
      </w:r>
      <w:r>
        <w:t xml:space="preserve"> </w:t>
      </w:r>
      <w:r>
        <w:t xml:space="preserve">All candidate assessments adhere to the latest MOE Teacher Professional Standards—critical for all schools across Singapore Singapore</w:t>
      </w:r>
    </w:p>
    <w:p>
      <w:pPr>
        <w:numPr>
          <w:ilvl w:val="0"/>
          <w:numId w:val="1004"/>
        </w:numPr>
        <w:pStyle w:val="Compact"/>
      </w:pPr>
      <w:r>
        <w:rPr>
          <w:bCs/>
          <w:b/>
        </w:rPr>
        <w:t xml:space="preserve">Singapore-Centric Training Frameworks:</w:t>
      </w:r>
      <w:r>
        <w:t xml:space="preserve"> </w:t>
      </w:r>
      <w:r>
        <w:t xml:space="preserve">Our "Primary Educator Excellence Programme" developed with local education specialists delivers 30% faster classroom adaptation</w:t>
      </w:r>
    </w:p>
    <w:p>
      <w:pPr>
        <w:numPr>
          <w:ilvl w:val="0"/>
          <w:numId w:val="1004"/>
        </w:numPr>
        <w:pStyle w:val="Compact"/>
      </w:pPr>
      <w:r>
        <w:rPr>
          <w:bCs/>
          <w:b/>
        </w:rPr>
        <w:t xml:space="preserve">Retention-Focused Sales Model:</w:t>
      </w:r>
      <w:r>
        <w:t xml:space="preserve"> </w:t>
      </w:r>
      <w:r>
        <w:t xml:space="preserve">Unlike transactional recruiters, we invest in long-term educator success—proven by our 87.3% retention rate versus industry average of 76%</w:t>
      </w:r>
    </w:p>
    <w:bookmarkEnd w:id="25"/>
    <w:bookmarkStart w:id="26" w:name="X80f3d135832a0db850e47d8ffdb36e29f7463cd"/>
    <w:p>
      <w:pPr>
        <w:pStyle w:val="Heading2"/>
      </w:pPr>
      <w:r>
        <w:t xml:space="preserve">Challenges &amp; Strategic Outlook for Singapore Singapore</w:t>
      </w:r>
    </w:p>
    <w:p>
      <w:pPr>
        <w:pStyle w:val="FirstParagraph"/>
      </w:pPr>
      <w:r>
        <w:t xml:space="preserve">Key challenges identified in the Teacher Primary market include:</w:t>
      </w:r>
    </w:p>
    <w:p>
      <w:pPr>
        <w:numPr>
          <w:ilvl w:val="0"/>
          <w:numId w:val="1005"/>
        </w:numPr>
        <w:pStyle w:val="Compact"/>
      </w:pPr>
      <w:r>
        <w:t xml:space="preserve">Competition for bilingual Teacher Primary candidates (English-Mandarin) in high-demand areas</w:t>
      </w:r>
    </w:p>
    <w:p>
      <w:pPr>
        <w:numPr>
          <w:ilvl w:val="0"/>
          <w:numId w:val="1005"/>
        </w:numPr>
        <w:pStyle w:val="Compact"/>
      </w:pPr>
      <w:r>
        <w:t xml:space="preserve">Need for accelerated training of new educators amid rapid school expansion across Singapore Singapore</w:t>
      </w:r>
    </w:p>
    <w:p>
      <w:pPr>
        <w:pStyle w:val="FirstParagraph"/>
      </w:pPr>
      <w:r>
        <w:t xml:space="preserve">To address these, our 2024 strategy includes:</w:t>
      </w:r>
    </w:p>
    <w:p>
      <w:pPr>
        <w:numPr>
          <w:ilvl w:val="0"/>
          <w:numId w:val="1006"/>
        </w:numPr>
        <w:pStyle w:val="Compact"/>
      </w:pPr>
      <w:r>
        <w:t xml:space="preserve">Launching the "Singapore Primary Teacher Talent Pipeline" with NUS and NTU to pre-qualify candidates</w:t>
      </w:r>
    </w:p>
    <w:p>
      <w:pPr>
        <w:numPr>
          <w:ilvl w:val="0"/>
          <w:numId w:val="1006"/>
        </w:numPr>
        <w:pStyle w:val="Compact"/>
      </w:pPr>
      <w:r>
        <w:t xml:space="preserve">Implementing AR-based classroom simulation training for Teacher Primary onboarding</w:t>
      </w:r>
    </w:p>
    <w:p>
      <w:pPr>
        <w:numPr>
          <w:ilvl w:val="0"/>
          <w:numId w:val="1006"/>
        </w:numPr>
        <w:pStyle w:val="Compact"/>
      </w:pPr>
      <w:r>
        <w:t xml:space="preserve">Expanding regional recruitment partnerships across ASEAN to attract overseas-qualified educators</w:t>
      </w:r>
    </w:p>
    <w:bookmarkEnd w:id="26"/>
    <w:bookmarkStart w:id="27" w:name="Xa2c72595f2dffbff7c14761fcdf66e9d2a070b7"/>
    <w:p>
      <w:pPr>
        <w:pStyle w:val="Heading2"/>
      </w:pPr>
      <w:r>
        <w:t xml:space="preserve">Conclusion: The Future of Teacher Primary Sales in Singapore Singapore</w:t>
      </w:r>
    </w:p>
    <w:p>
      <w:pPr>
        <w:pStyle w:val="FirstParagraph"/>
      </w:pPr>
      <w:r>
        <w:t xml:space="preserve">This Sales Report confirms that our strategic focus on the Teacher Primary segment has positioned us as the most trusted recruitment partner for schools across Singapore Singapore. The 15% year-on-year growth in placements and industry-leading retention rates validate our market approach, where every placement directly serves Singapore's national education vision. As we continue to prioritize cultural alignment and professional development for Teacher Primary educators, we are confident in our ability to meet the escalating demands of Singapore Singapore's primary education landscape. Our commitment remains unwavering: to deliver exceptional Teacher Primary talent that empowers every student across this vibrant city-state.</w:t>
      </w:r>
    </w:p>
    <w:p>
      <w:pPr>
        <w:pStyle w:val="BodyText"/>
      </w:pPr>
      <w:r>
        <w:rPr>
          <w:bCs/>
          <w:b/>
        </w:rPr>
        <w:t xml:space="preserve">Prepared By:</w:t>
      </w:r>
      <w:r>
        <w:t xml:space="preserve"> </w:t>
      </w:r>
      <w:r>
        <w:t xml:space="preserve">Education Talent Solutions Division</w:t>
      </w:r>
      <w:r>
        <w:br/>
      </w:r>
      <w:r>
        <w:rPr>
          <w:bCs/>
          <w:b/>
        </w:rPr>
        <w:t xml:space="preserve">For:</w:t>
      </w:r>
      <w:r>
        <w:t xml:space="preserve"> </w:t>
      </w:r>
      <w:r>
        <w:t xml:space="preserve">Ministry of Education Singapore, Primary School Recruitment Directorate</w:t>
      </w:r>
      <w:r>
        <w:br/>
      </w:r>
      <w:r>
        <w:rPr>
          <w:iCs/>
          <w:i/>
        </w:rPr>
        <w:t xml:space="preserve">"Empowering Every Teacher, Elevating Every Classroom in Singapore Singapore"</w:t>
      </w:r>
    </w:p>
    <w:p>
      <w:pPr>
        <w:pStyle w:val="BodyText"/>
      </w:pPr>
      <w:r>
        <w:t xml:space="preserve">This document represents confidential sales performance data for Ministry of Education Singapore. All metrics verified by MOE HR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Singapore Singapore Market Analysis</dc:title>
  <dc:creator/>
  <dc:language>en</dc:language>
  <cp:keywords/>
  <dcterms:created xsi:type="dcterms:W3CDTF">2025-12-11T08:11:23Z</dcterms:created>
  <dcterms:modified xsi:type="dcterms:W3CDTF">2025-12-11T08:11:23Z</dcterms:modified>
</cp:coreProperties>
</file>

<file path=docProps/custom.xml><?xml version="1.0" encoding="utf-8"?>
<Properties xmlns="http://schemas.openxmlformats.org/officeDocument/2006/custom-properties" xmlns:vt="http://schemas.openxmlformats.org/officeDocument/2006/docPropsVTypes"/>
</file>