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Programs</w:t>
      </w:r>
      <w:r>
        <w:t xml:space="preserve"> </w:t>
      </w:r>
      <w:r>
        <w:t xml:space="preserve">-</w:t>
      </w:r>
      <w:r>
        <w:t xml:space="preserve"> </w:t>
      </w:r>
      <w:r>
        <w:t xml:space="preserve">Turkey</w:t>
      </w:r>
      <w:r>
        <w:t xml:space="preserve"> </w:t>
      </w:r>
      <w:r>
        <w:t xml:space="preserve">Ankara</w:t>
      </w:r>
    </w:p>
    <w:bookmarkStart w:id="30" w:name="X03a850e89eb675a1b26ccab5e3913159bed81d5"/>
    <w:p>
      <w:pPr>
        <w:pStyle w:val="Heading1"/>
      </w:pPr>
      <w:r>
        <w:t xml:space="preserve">Comprehensive Sales Report: Teacher Primary Programs in Turkey Ankara</w:t>
      </w:r>
    </w:p>
    <w:p>
      <w:pPr>
        <w:pStyle w:val="FirstParagraph"/>
      </w:pPr>
      <w:r>
        <w:rPr>
          <w:bCs/>
          <w:b/>
        </w:rPr>
        <w:t xml:space="preserve">Prepared For:</w:t>
      </w:r>
      <w:r>
        <w:t xml:space="preserve"> </w:t>
      </w:r>
      <w:r>
        <w:t xml:space="preserve">Executive Management, Education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Teacher Primary programs across Ankara, Turkey. The quarter witnessed significant growth in demand for primary education solutions, driven by Turkey's national educational reforms and Ankara's status as the country's academic hub. Our sales team achieved a 27% year-over-year increase in contracts for Teacher Primary resources, securing 42 new institutional partnerships with public and private primary schools across Ankara. This report analyzes key market dynamics, regional performance metrics, and strategic recommendations to sustain momentum in the competitive Turkey Ankara education landscape.</w:t>
      </w:r>
    </w:p>
    <w:bookmarkEnd w:id="20"/>
    <w:bookmarkStart w:id="21" w:name="Xeaefd2e09c2a80de2561ac33237c3f74721b1ff"/>
    <w:p>
      <w:pPr>
        <w:pStyle w:val="Heading2"/>
      </w:pPr>
      <w:r>
        <w:t xml:space="preserve">II. Market Context: Teacher Primary Demand in Turkey</w:t>
      </w:r>
    </w:p>
    <w:p>
      <w:pPr>
        <w:pStyle w:val="FirstParagraph"/>
      </w:pPr>
      <w:r>
        <w:t xml:space="preserve">Turkey's Ministry of National Education (MEB) has prioritized primary teacher development through its "New Generation Educators" initiative, creating unprecedented demand for certified Teacher Primary training and resources. Ankara, as the political and educational capital with 68% of Turkey's public school administrators based here, represents a critical market. Our analysis confirms that 83% of Ankara's primary schools require updated pedagogical tools aligned with MEB's 2023 curriculum revisions. This strategic alignment positions our Teacher Primary solutions at the heart of national educational transformation.</w:t>
      </w:r>
    </w:p>
    <w:bookmarkEnd w:id="21"/>
    <w:bookmarkStart w:id="22" w:name="X94ce72f22af4c37dc0b5acc69b4486bfe73acdb"/>
    <w:p>
      <w:pPr>
        <w:pStyle w:val="Heading2"/>
      </w:pPr>
      <w:r>
        <w:t xml:space="preserve">III. Sales Performance: Turkey Ankara Regional Breakdown</w:t>
      </w:r>
    </w:p>
    <w:p>
      <w:pPr>
        <w:pStyle w:val="FirstParagraph"/>
      </w:pPr>
      <w:r>
        <w:t xml:space="preserve">Area</w:t>
      </w:r>
    </w:p>
    <w:p>
      <w:pPr>
        <w:pStyle w:val="BodyText"/>
      </w:pPr>
      <w:r>
        <w:t xml:space="preserve">Target Schools</w:t>
      </w:r>
    </w:p>
    <w:p>
      <w:pPr>
        <w:pStyle w:val="BodyText"/>
      </w:pPr>
      <w:r>
        <w:t xml:space="preserve">Contracts Secured</w:t>
      </w:r>
    </w:p>
    <w:p>
      <w:pPr>
        <w:pStyle w:val="BodyText"/>
      </w:pPr>
      <w:r>
        <w:t xml:space="preserve">% Growth vs Q2 2023</w:t>
      </w:r>
    </w:p>
    <w:p>
      <w:pPr>
        <w:pStyle w:val="BodyText"/>
      </w:pPr>
      <w:r>
        <w:t xml:space="preserve">Average Deal Size (TRY)</w:t>
      </w:r>
    </w:p>
    <w:p>
      <w:pPr>
        <w:pStyle w:val="BodyText"/>
      </w:pPr>
      <w:r>
        <w:t xml:space="preserve">Ankara City Center</w:t>
      </w:r>
    </w:p>
    <w:p>
      <w:pPr>
        <w:pStyle w:val="BodyText"/>
      </w:pPr>
      <w:r>
        <w:t xml:space="preserve">18</w:t>
      </w:r>
    </w:p>
    <w:p>
      <w:pPr>
        <w:pStyle w:val="BodyText"/>
      </w:pPr>
      <w:r>
        <w:t xml:space="preserve">15</w:t>
      </w:r>
    </w:p>
    <w:p>
      <w:pPr>
        <w:pStyle w:val="BodyText"/>
      </w:pPr>
      <w:r>
        <w:t xml:space="preserve">34%</w:t>
      </w:r>
    </w:p>
    <w:p>
      <w:pPr>
        <w:pStyle w:val="BodyText"/>
      </w:pPr>
      <w:r>
        <w:t xml:space="preserve">28,500</w:t>
      </w:r>
    </w:p>
    <w:p>
      <w:pPr>
        <w:pStyle w:val="BodyText"/>
      </w:pPr>
      <w:r>
        <w:t xml:space="preserve">Ankara Province (Districts)</w:t>
      </w:r>
    </w:p>
    <w:p>
      <w:pPr>
        <w:pStyle w:val="BodyText"/>
      </w:pPr>
      <w:r>
        <w:t xml:space="preserve">32</w:t>
      </w:r>
    </w:p>
    <w:p>
      <w:pPr>
        <w:pStyle w:val="BodyText"/>
      </w:pPr>
      <w:r>
        <w:t xml:space="preserve">&lt; td&gt;27&lt; td &gt; 29% &lt; td &gt; 19,800</w:t>
      </w:r>
    </w:p>
    <w:p>
      <w:pPr>
        <w:pStyle w:val="BodyText"/>
      </w:pPr>
      <w:r>
        <w:t xml:space="preserve">University-Linked Schools</w:t>
      </w:r>
    </w:p>
    <w:p>
      <w:pPr>
        <w:pStyle w:val="BodyText"/>
      </w:pPr>
      <w:r>
        <w:t xml:space="preserve">15</w:t>
      </w:r>
    </w:p>
    <w:p>
      <w:pPr>
        <w:pStyle w:val="BodyText"/>
      </w:pPr>
      <w:r>
        <w:t xml:space="preserve">14</w:t>
      </w:r>
    </w:p>
    <w:p>
      <w:pPr>
        <w:pStyle w:val="BodyText"/>
      </w:pPr>
      <w:r>
        <w:t xml:space="preserve">45%</w:t>
      </w:r>
    </w:p>
    <w:p>
      <w:pPr>
        <w:pStyle w:val="BodyText"/>
      </w:pPr>
      <w:r>
        <w:t xml:space="preserve">37,200</w:t>
      </w:r>
    </w:p>
    <w:p>
      <w:pPr>
        <w:pStyle w:val="BodyText"/>
      </w:pPr>
      <w:r>
        <w:t xml:space="preserve">Total</w:t>
      </w:r>
    </w:p>
    <w:p>
      <w:pPr>
        <w:pStyle w:val="BodyText"/>
      </w:pPr>
      <w:r>
        <w:t xml:space="preserve">65</w:t>
      </w:r>
    </w:p>
    <w:p>
      <w:pPr>
        <w:pStyle w:val="BodyText"/>
      </w:pPr>
      <w:r>
        <w:t xml:space="preserve">56</w:t>
      </w:r>
    </w:p>
    <w:p>
      <w:pPr>
        <w:pStyle w:val="BodyText"/>
      </w:pPr>
      <w:r>
        <w:t xml:space="preserve">27%↑</w:t>
      </w:r>
    </w:p>
    <w:p>
      <w:pPr>
        <w:pStyle w:val="BodyText"/>
      </w:pPr>
      <w:r>
        <w:t xml:space="preserve">$18,900 avg.</w:t>
      </w:r>
    </w:p>
    <w:p>
      <w:pPr>
        <w:pStyle w:val="BodyText"/>
      </w:pPr>
      <w:r>
        <w:t xml:space="preserve">Notable achievements include:</w:t>
      </w:r>
    </w:p>
    <w:p>
      <w:pPr>
        <w:numPr>
          <w:ilvl w:val="0"/>
          <w:numId w:val="1001"/>
        </w:numPr>
        <w:pStyle w:val="Compact"/>
      </w:pPr>
      <w:r>
        <w:t xml:space="preserve">Securing the first major contract with Ankara Metropolitan Municipality's primary school network (covering 12 schools)</w:t>
      </w:r>
    </w:p>
    <w:p>
      <w:pPr>
        <w:numPr>
          <w:ilvl w:val="0"/>
          <w:numId w:val="1001"/>
        </w:numPr>
        <w:pStyle w:val="Compact"/>
      </w:pPr>
      <w:r>
        <w:t xml:space="preserve">Achieving 92% client retention rate among Teacher Primary program users in Ankara</w:t>
      </w:r>
    </w:p>
    <w:p>
      <w:pPr>
        <w:numPr>
          <w:ilvl w:val="0"/>
          <w:numId w:val="1001"/>
        </w:numPr>
        <w:pStyle w:val="Compact"/>
      </w:pPr>
      <w:r>
        <w:t xml:space="preserve">Exceeding Q3 targets by 18% through strategic partnerships with Ankara Education Technology Consortium</w:t>
      </w:r>
    </w:p>
    <w:bookmarkEnd w:id="22"/>
    <w:bookmarkStart w:id="26" w:name="X5db8439b338a6ccc448d11dca44b1420cde220f"/>
    <w:p>
      <w:pPr>
        <w:pStyle w:val="Heading2"/>
      </w:pPr>
      <w:r>
        <w:t xml:space="preserve">IV. Key Product/Service Analysis: Teacher Primary Solutions</w:t>
      </w:r>
    </w:p>
    <w:p>
      <w:pPr>
        <w:pStyle w:val="FirstParagraph"/>
      </w:pPr>
      <w:r>
        <w:t xml:space="preserve">Our successful sales correlate directly with our specialized Teacher Primary offerings tailored to Turkey's educational needs:</w:t>
      </w:r>
    </w:p>
    <w:bookmarkStart w:id="23" w:name="Xdb8d8eaa8749f5295cebc200da54b0728b4680d"/>
    <w:p>
      <w:pPr>
        <w:pStyle w:val="Heading3"/>
      </w:pPr>
      <w:r>
        <w:t xml:space="preserve">A. Digital Learning Modules for Primary Teachers</w:t>
      </w:r>
    </w:p>
    <w:p>
      <w:pPr>
        <w:pStyle w:val="FirstParagraph"/>
      </w:pPr>
      <w:r>
        <w:t xml:space="preserve">Accounting for 65% of Q3 revenue, these MEB-aligned modules (covering literacy, STEM basics, and inclusive education) saw a 41% increase in adoption. The Ankara-based pilot program with Ministry-certified educators demonstrated a 29% average improvement in classroom engagement metrics.</w:t>
      </w:r>
    </w:p>
    <w:bookmarkEnd w:id="23"/>
    <w:bookmarkStart w:id="24" w:name="b.-professional-development-workshops"/>
    <w:p>
      <w:pPr>
        <w:pStyle w:val="Heading3"/>
      </w:pPr>
      <w:r>
        <w:t xml:space="preserve">B. Professional Development Workshops</w:t>
      </w:r>
    </w:p>
    <w:p>
      <w:pPr>
        <w:pStyle w:val="FirstParagraph"/>
      </w:pPr>
      <w:r>
        <w:t xml:space="preserve">Our Teacher Primary certification workshops achieved full capacity across all Ankara venues, with 87% of participants from schools within 10km of the city center. The "Ankara Educator Excellence Series" generated significant cross-selling opportunities for our digital tools.</w:t>
      </w:r>
    </w:p>
    <w:bookmarkEnd w:id="24"/>
    <w:bookmarkStart w:id="25" w:name="c.-curriculum-resource-kits"/>
    <w:p>
      <w:pPr>
        <w:pStyle w:val="Heading3"/>
      </w:pPr>
      <w:r>
        <w:t xml:space="preserve">C. Curriculum Resource Kits</w:t>
      </w:r>
    </w:p>
    <w:p>
      <w:pPr>
        <w:pStyle w:val="FirstParagraph"/>
      </w:pPr>
      <w:r>
        <w:t xml:space="preserve">Physical kits containing Turkey-specific teaching materials (including Turkish language literacy packs and local history content) drove 22% of sales. Schools in Ankara's emerging districts (e.g., Yenimahalle, Çankaya) showed highest demand for these culturally contextualized resources.</w:t>
      </w:r>
    </w:p>
    <w:bookmarkEnd w:id="25"/>
    <w:bookmarkEnd w:id="26"/>
    <w:bookmarkStart w:id="27" w:name="X246ee8dd16e0ca0218dd257355a31bbf24f82b6"/>
    <w:p>
      <w:pPr>
        <w:pStyle w:val="Heading2"/>
      </w:pPr>
      <w:r>
        <w:t xml:space="preserve">V. Competitive Landscape &amp; Market Challenges</w:t>
      </w:r>
    </w:p>
    <w:p>
      <w:pPr>
        <w:pStyle w:val="FirstParagraph"/>
      </w:pPr>
      <w:r>
        <w:t xml:space="preserve">While we lead the Turkey Ankara Teacher Primary market with 34% share (vs. competitor average of 18%), key challenges emerged:</w:t>
      </w:r>
    </w:p>
    <w:p>
      <w:pPr>
        <w:numPr>
          <w:ilvl w:val="0"/>
          <w:numId w:val="1002"/>
        </w:numPr>
        <w:pStyle w:val="Compact"/>
      </w:pPr>
      <w:r>
        <w:rPr>
          <w:bCs/>
          <w:b/>
        </w:rPr>
        <w:t xml:space="preserve">Currency Volatility:</w:t>
      </w:r>
      <w:r>
        <w:t xml:space="preserve"> </w:t>
      </w:r>
      <w:r>
        <w:t xml:space="preserve">TRY depreciation impacted pricing strategy, requiring 15% price adjustments for foreign-sourced materials</w:t>
      </w:r>
    </w:p>
    <w:p>
      <w:pPr>
        <w:numPr>
          <w:ilvl w:val="0"/>
          <w:numId w:val="1002"/>
        </w:numPr>
        <w:pStyle w:val="Compact"/>
      </w:pPr>
      <w:r>
        <w:rPr>
          <w:bCs/>
          <w:b/>
        </w:rPr>
        <w:t xml:space="preserve">Regulatory Alignment:</w:t>
      </w:r>
      <w:r>
        <w:t xml:space="preserve"> </w:t>
      </w:r>
      <w:r>
        <w:t xml:space="preserve">MEB's quarterly curriculum updates necessitated rapid product adaptation cycles (handled effectively through our Ankara-based compliance team)</w:t>
      </w:r>
    </w:p>
    <w:p>
      <w:pPr>
        <w:numPr>
          <w:ilvl w:val="0"/>
          <w:numId w:val="1002"/>
        </w:numPr>
        <w:pStyle w:val="Compact"/>
      </w:pPr>
      <w:r>
        <w:rPr>
          <w:bCs/>
          <w:b/>
        </w:rPr>
        <w:t xml:space="preserve">District Inequality:</w:t>
      </w:r>
      <w:r>
        <w:t xml:space="preserve"> </w:t>
      </w:r>
      <w:r>
        <w:t xml:space="preserve">Rural Ankara schools (e.g., Gölbaşı) showed 40% lower adoption rates due to infrastructure limitations, requiring targeted subsidy programs</w:t>
      </w:r>
    </w:p>
    <w:bookmarkEnd w:id="27"/>
    <w:bookmarkStart w:id="28" w:name="Xcdab744ae93dbc9a72d717461b16c615d296194"/>
    <w:p>
      <w:pPr>
        <w:pStyle w:val="Heading2"/>
      </w:pPr>
      <w:r>
        <w:t xml:space="preserve">VI. Strategic Recommendations for Teacher Primary Expansion in Turkey Ankara</w:t>
      </w:r>
    </w:p>
    <w:p>
      <w:pPr>
        <w:pStyle w:val="FirstParagraph"/>
      </w:pPr>
      <w:r>
        <w:t xml:space="preserve">To capitalize on Q3 momentum and secure long-term market leadership:</w:t>
      </w:r>
    </w:p>
    <w:p>
      <w:pPr>
        <w:numPr>
          <w:ilvl w:val="0"/>
          <w:numId w:val="1003"/>
        </w:numPr>
        <w:pStyle w:val="Compact"/>
      </w:pPr>
      <w:r>
        <w:rPr>
          <w:bCs/>
          <w:b/>
        </w:rPr>
        <w:t xml:space="preserve">Localize Production:</w:t>
      </w:r>
      <w:r>
        <w:t xml:space="preserve"> </w:t>
      </w:r>
      <w:r>
        <w:t xml:space="preserve">Establish a Ankara-based content studio by Q1 2024 to reduce costs and accelerate MEB compliance (projected 23% cost reduction)</w:t>
      </w:r>
    </w:p>
    <w:p>
      <w:pPr>
        <w:numPr>
          <w:ilvl w:val="0"/>
          <w:numId w:val="1003"/>
        </w:numPr>
        <w:pStyle w:val="Compact"/>
      </w:pPr>
      <w:r>
        <w:rPr>
          <w:bCs/>
          <w:b/>
        </w:rPr>
        <w:t xml:space="preserve">Digital Infrastructure Initiative:</w:t>
      </w:r>
      <w:r>
        <w:t xml:space="preserve"> </w:t>
      </w:r>
      <w:r>
        <w:t xml:space="preserve">Partner with Ankara Metropolitan Municipality for free Wi-Fi in all primary schools to remove access barriers for our Teacher Primary digital platform</w:t>
      </w:r>
    </w:p>
    <w:p>
      <w:pPr>
        <w:numPr>
          <w:ilvl w:val="0"/>
          <w:numId w:val="1003"/>
        </w:numPr>
        <w:pStyle w:val="Compact"/>
      </w:pPr>
      <w:r>
        <w:rPr>
          <w:bCs/>
          <w:b/>
        </w:rPr>
        <w:t xml:space="preserve">Government Partnership Program:</w:t>
      </w:r>
      <w:r>
        <w:t xml:space="preserve"> </w:t>
      </w:r>
      <w:r>
        <w:t xml:space="preserve">Develop a tiered pricing model aligned with MEB's "Teacher Development Fund" to secure 30+ municipal contracts by end-2024</w:t>
      </w:r>
    </w:p>
    <w:p>
      <w:pPr>
        <w:numPr>
          <w:ilvl w:val="0"/>
          <w:numId w:val="1003"/>
        </w:numPr>
        <w:pStyle w:val="Compact"/>
      </w:pPr>
      <w:r>
        <w:rPr>
          <w:bCs/>
          <w:b/>
        </w:rPr>
        <w:t xml:space="preserve">Ankara Teacher Ambassador Network:</w:t>
      </w:r>
      <w:r>
        <w:t xml:space="preserve"> </w:t>
      </w:r>
      <w:r>
        <w:t xml:space="preserve">Recruit 15 certified Ankara primary teachers as community advocates to drive peer-to-peer adoption (pilot launched October 2023)</w:t>
      </w:r>
    </w:p>
    <w:bookmarkEnd w:id="28"/>
    <w:bookmarkStart w:id="29" w:name="Xb9259699aba4ceb59f6194fead5ffd546292b13"/>
    <w:p>
      <w:pPr>
        <w:pStyle w:val="Heading2"/>
      </w:pPr>
      <w:r>
        <w:t xml:space="preserve">VII. Conclusion: The Future of Teacher Primary in Turkey</w:t>
      </w:r>
    </w:p>
    <w:p>
      <w:pPr>
        <w:pStyle w:val="FirstParagraph"/>
      </w:pPr>
      <w:r>
        <w:t xml:space="preserve">The Q3 Sales Report confirms that Ankara is the epicenter for Teacher Primary growth in Turkey, representing 58% of our national primary education sales. With the MEB's 2024 teacher training targets requiring 17,000 new certified educators nationwide – and Ankara contributing over 3,500 positions – our strategic focus on this market is not just profitable but mission-critical for Turkey's educational advancement.</w:t>
      </w:r>
    </w:p>
    <w:p>
      <w:pPr>
        <w:pStyle w:val="BodyText"/>
      </w:pPr>
      <w:r>
        <w:t xml:space="preserve">As we conclude this Sales Report for Teacher Primary programs in Turkey Ankara, we reaffirm our commitment to being the premier partner for primary education excellence. The 27% growth in Q3 demonstrates that when solutions align with national priorities and local needs – as our Teacher Primary offerings do in Ankara – sustainable market leadership emerges organically. Our next phase centers on transforming sales momentum into systemic educational impact, where every contract secured represents a step toward empowering Turkey's next generation of students through empowered primary teachers.</w:t>
      </w:r>
    </w:p>
    <w:p>
      <w:pPr>
        <w:pStyle w:val="BodyText"/>
      </w:pPr>
      <w:r>
        <w:rPr>
          <w:bCs/>
          <w:b/>
        </w:rPr>
        <w:t xml:space="preserve">Prepared By:</w:t>
      </w:r>
      <w:r>
        <w:t xml:space="preserve"> </w:t>
      </w:r>
      <w:r>
        <w:t xml:space="preserve">International Education Sales Division</w:t>
      </w:r>
      <w:r>
        <w:br/>
      </w:r>
      <w:r>
        <w:rPr>
          <w:bCs/>
          <w:b/>
        </w:rPr>
        <w:t xml:space="preserve">Contact:</w:t>
      </w:r>
      <w:r>
        <w:t xml:space="preserve"> </w:t>
      </w:r>
      <w:r>
        <w:t xml:space="preserve">sales@eduturkey.com | +90 312 XXX 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Programs - Turkey Ankara</dc:title>
  <dc:creator/>
  <dc:language>en</dc:language>
  <cp:keywords/>
  <dcterms:created xsi:type="dcterms:W3CDTF">2025-12-11T17:30:13Z</dcterms:created>
  <dcterms:modified xsi:type="dcterms:W3CDTF">2025-12-11T17:30:13Z</dcterms:modified>
</cp:coreProperties>
</file>

<file path=docProps/custom.xml><?xml version="1.0" encoding="utf-8"?>
<Properties xmlns="http://schemas.openxmlformats.org/officeDocument/2006/custom-properties" xmlns:vt="http://schemas.openxmlformats.org/officeDocument/2006/docPropsVTypes"/>
</file>