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Argentina</w:t>
      </w:r>
      <w:r>
        <w:t xml:space="preserve"> </w:t>
      </w:r>
      <w:r>
        <w:t xml:space="preserve">Buenos</w:t>
      </w:r>
      <w:r>
        <w:t xml:space="preserve"> </w:t>
      </w:r>
      <w:r>
        <w:t xml:space="preserve">Aires</w:t>
      </w:r>
      <w:r>
        <w:t xml:space="preserve"> </w:t>
      </w:r>
      <w:r>
        <w:t xml:space="preserve">Teacher</w:t>
      </w:r>
      <w:r>
        <w:t xml:space="preserve"> </w:t>
      </w:r>
      <w:r>
        <w:t xml:space="preserve">Secondary</w:t>
      </w:r>
      <w:r>
        <w:t xml:space="preserve"> </w:t>
      </w:r>
      <w:r>
        <w:t xml:space="preserve">Sales</w:t>
      </w:r>
      <w:r>
        <w:t xml:space="preserve"> </w:t>
      </w:r>
      <w:r>
        <w:t xml:space="preserve">Report</w:t>
      </w:r>
    </w:p>
    <w:bookmarkStart w:id="27" w:name="Xe052695ad88c9e7c734cbc87aa10670357349e8"/>
    <w:p>
      <w:pPr>
        <w:pStyle w:val="Heading1"/>
      </w:pPr>
      <w:r>
        <w:t xml:space="preserve">Argentina Buenos Aires Teacher Secondary Sales Performance Report</w:t>
      </w:r>
    </w:p>
    <w:p>
      <w:pPr>
        <w:pStyle w:val="FirstParagraph"/>
      </w:pPr>
      <w:r>
        <w:t xml:space="preserve">Q3 2023 - Q4 2023 Period | Prepared for Educational Solutions Argentina</w:t>
      </w:r>
    </w:p>
    <w:bookmarkStart w:id="20" w:name="executive-summary"/>
    <w:p>
      <w:pPr>
        <w:pStyle w:val="Heading2"/>
      </w:pPr>
      <w:r>
        <w:t xml:space="preserve">Executive Summary</w:t>
      </w:r>
    </w:p>
    <w:p>
      <w:pPr>
        <w:pStyle w:val="FirstParagraph"/>
      </w:pPr>
      <w:r>
        <w:t xml:space="preserve">This comprehensive Sales Report details the performance of educational solutions targeting secondary-level teaching professionals across Argentina Buenos Aires. The period under review (Q3-Q4 2023) demonstrates remarkable growth in our Teacher Secondary product category, with a 37% year-over-year increase in sales revenue and a 28% expansion in active educational institutions adopting our resources. This success stems from our strategic alignment with the unique pedagogical demands of Argentina's secondary education system, where the</w:t>
      </w:r>
      <w:r>
        <w:t xml:space="preserve"> </w:t>
      </w:r>
      <w:r>
        <w:rPr>
          <w:iCs/>
          <w:i/>
        </w:rPr>
        <w:t xml:space="preserve">Teacher Secondary</w:t>
      </w:r>
      <w:r>
        <w:t xml:space="preserve"> </w:t>
      </w:r>
      <w:r>
        <w:t xml:space="preserve">market represents approximately 62% of all educational technology expenditures in Buenos Aires Province. Our specialized approach to supporting secondary educators has positioned us as a leading provider in this critical segment.</w:t>
      </w:r>
    </w:p>
    <w:bookmarkEnd w:id="20"/>
    <w:bookmarkStart w:id="21" w:name="Xd623275b8aba4768d0e01cbda7bad740474293b"/>
    <w:p>
      <w:pPr>
        <w:pStyle w:val="Heading2"/>
      </w:pPr>
      <w:r>
        <w:t xml:space="preserve">Market Context: Argentina Buenos Aires Educational Landscape</w:t>
      </w:r>
    </w:p>
    <w:p>
      <w:pPr>
        <w:pStyle w:val="FirstParagraph"/>
      </w:pPr>
      <w:r>
        <w:t xml:space="preserve">The Argentine education system follows the national curriculum guidelines established by the Ministry of Education (MEC), with specific implementation protocols for secondary levels (Educación Secundaria). In Buenos Aires, where over 48% of Argentina's public and private secondary schools are located, teacher training requirements and resource demands present distinctive opportunities. Our</w:t>
      </w:r>
      <w:r>
        <w:t xml:space="preserve"> </w:t>
      </w:r>
      <w:r>
        <w:rPr>
          <w:iCs/>
          <w:i/>
        </w:rPr>
        <w:t xml:space="preserve">Teacher Secondary</w:t>
      </w:r>
      <w:r>
        <w:t xml:space="preserve"> </w:t>
      </w:r>
      <w:r>
        <w:t xml:space="preserve">focus directly addresses the challenges faced by educators in this region: standardized testing pressures (Evaluaciones Nacionales), curriculum modernization initiatives, and the growing need for digital pedagogical tools. The Buenos Aires government's recent "Escuelas Digitales" program has further accelerated demand for specialized resources tailored to secondary-level instruction.</w:t>
      </w:r>
    </w:p>
    <w:bookmarkEnd w:id="21"/>
    <w:bookmarkStart w:id="23" w:name="sales-performance-breakdown"/>
    <w:p>
      <w:pPr>
        <w:pStyle w:val="Heading2"/>
      </w:pPr>
      <w:r>
        <w:t xml:space="preserve">Sales Performance Breakdown</w:t>
      </w:r>
    </w:p>
    <w:p>
      <w:pPr>
        <w:pStyle w:val="FirstParagraph"/>
      </w:pPr>
      <w:r>
        <w:t xml:space="preserve">Our sales data reveals exceptional momentum in the</w:t>
      </w:r>
      <w:r>
        <w:t xml:space="preserve"> </w:t>
      </w:r>
      <w:r>
        <w:rPr>
          <w:iCs/>
          <w:i/>
        </w:rPr>
        <w:t xml:space="preserve">Teacher Secondary</w:t>
      </w:r>
      <w:r>
        <w:t xml:space="preserve"> </w:t>
      </w:r>
      <w:r>
        <w:t xml:space="preserve">segment. During Q3-Q4 2023, we achieved:</w:t>
      </w:r>
    </w:p>
    <w:p>
      <w:pPr>
        <w:numPr>
          <w:ilvl w:val="0"/>
          <w:numId w:val="1001"/>
        </w:numPr>
        <w:pStyle w:val="Compact"/>
      </w:pPr>
      <w:r>
        <w:rPr>
          <w:bCs/>
          <w:b/>
        </w:rPr>
        <w:t xml:space="preserve">$1.87M in total sales</w:t>
      </w:r>
      <w:r>
        <w:t xml:space="preserve">: Representing 68% of all regional revenue (up from $1.37M YoY)</w:t>
      </w:r>
    </w:p>
    <w:p>
      <w:pPr>
        <w:numPr>
          <w:ilvl w:val="0"/>
          <w:numId w:val="1001"/>
        </w:numPr>
        <w:pStyle w:val="Compact"/>
      </w:pPr>
      <w:r>
        <w:rPr>
          <w:bCs/>
          <w:b/>
        </w:rPr>
        <w:t xml:space="preserve">427 new secondary schools onboarded</w:t>
      </w:r>
      <w:r>
        <w:t xml:space="preserve">: A 39% increase over previous period, primarily in Greater Buenos Aires districts</w:t>
      </w:r>
    </w:p>
    <w:p>
      <w:pPr>
        <w:numPr>
          <w:ilvl w:val="0"/>
          <w:numId w:val="1001"/>
        </w:numPr>
        <w:pStyle w:val="Compact"/>
      </w:pPr>
      <w:r>
        <w:rPr>
          <w:bCs/>
          <w:b/>
        </w:rPr>
        <w:t xml:space="preserve">87% client retention rate</w:t>
      </w:r>
      <w:r>
        <w:t xml:space="preserve">: Demonstrating strong product-market fit among Buenos Aires teachers and school administrators</w:t>
      </w:r>
    </w:p>
    <w:p>
      <w:pPr>
        <w:numPr>
          <w:ilvl w:val="0"/>
          <w:numId w:val="1001"/>
        </w:numPr>
        <w:pStyle w:val="Compact"/>
      </w:pPr>
      <w:r>
        <w:rPr>
          <w:bCs/>
          <w:b/>
        </w:rPr>
        <w:t xml:space="preserve">12.4% average order value per institution</w:t>
      </w:r>
      <w:r>
        <w:t xml:space="preserve">: Reflecting premium demand for our secondary-specific content bundles</w:t>
      </w:r>
    </w:p>
    <w:bookmarkStart w:id="22" w:name="X318cedea7dfeffaa34ee3ca2377c7a5d296b957"/>
    <w:p>
      <w:pPr>
        <w:pStyle w:val="Heading3"/>
      </w:pPr>
      <w:r>
        <w:t xml:space="preserve">Regional Sales Distribution (Argentina Buenos Aires)</w:t>
      </w:r>
    </w:p>
    <w:p>
      <w:pPr>
        <w:pStyle w:val="FirstParagraph"/>
      </w:pPr>
      <w:r>
        <w:t xml:space="preserve">Region</w:t>
      </w:r>
    </w:p>
    <w:p>
      <w:pPr>
        <w:pStyle w:val="BodyText"/>
      </w:pPr>
      <w:r>
        <w:t xml:space="preserve">Schools Covered</w:t>
      </w:r>
    </w:p>
    <w:p>
      <w:pPr>
        <w:pStyle w:val="BodyText"/>
      </w:pPr>
      <w:r>
        <w:t xml:space="preserve">Revenue Contribution</w:t>
      </w:r>
    </w:p>
    <w:p>
      <w:pPr>
        <w:pStyle w:val="BodyText"/>
      </w:pPr>
      <w:r>
        <w:t xml:space="preserve">Growth Rate (YoY)</w:t>
      </w:r>
    </w:p>
    <w:p>
      <w:pPr>
        <w:pStyle w:val="BodyText"/>
      </w:pPr>
      <w:r>
        <w:t xml:space="preserve">Buenos Aires City</w:t>
      </w:r>
    </w:p>
    <w:p>
      <w:pPr>
        <w:pStyle w:val="BodyText"/>
      </w:pPr>
      <w:r>
        <w:t xml:space="preserve">142 schools</w:t>
      </w:r>
    </w:p>
    <w:p>
      <w:pPr>
        <w:pStyle w:val="BodyText"/>
      </w:pPr>
      <w:r>
        <w:t xml:space="preserve">$752,000 (40.2%)</w:t>
      </w:r>
    </w:p>
    <w:p>
      <w:pPr>
        <w:pStyle w:val="BodyText"/>
      </w:pPr>
      <w:r>
        <w:t xml:space="preserve">31%</w:t>
      </w:r>
    </w:p>
    <w:p>
      <w:pPr>
        <w:pStyle w:val="BodyText"/>
      </w:pPr>
      <w:r>
        <w:t xml:space="preserve">&gt;Greater Buenos Aires (Gran Buenos Aires)</w:t>
      </w:r>
    </w:p>
    <w:p>
      <w:pPr>
        <w:pStyle w:val="BodyText"/>
      </w:pPr>
      <w:r>
        <w:t xml:space="preserve">285 schools</w:t>
      </w:r>
    </w:p>
    <w:p>
      <w:pPr>
        <w:pStyle w:val="BodyText"/>
      </w:pPr>
      <w:r>
        <w:t xml:space="preserve">$1,119,000 (59.8%)</w:t>
      </w:r>
    </w:p>
    <w:p>
      <w:pPr>
        <w:pStyle w:val="BodyText"/>
      </w:pPr>
      <w:r>
        <w:t xml:space="preserve">43%</w:t>
      </w:r>
    </w:p>
    <w:p>
      <w:pPr>
        <w:pStyle w:val="BodyText"/>
      </w:pPr>
      <w:r>
        <w:t xml:space="preserve">The Gran Buenos Aires region (including Tigre, Lomas de Zamora, and Quilmes) drove 59.8% of sales volume due to its dense concentration of secondary institutions. Notably, schools in the Autonomous City of Buenos Aires showed the highest adoption rates for our digital lesson planning tools – a direct response to municipal education department requirements.</w:t>
      </w:r>
    </w:p>
    <w:bookmarkEnd w:id="22"/>
    <w:bookmarkEnd w:id="23"/>
    <w:bookmarkStart w:id="24" w:name="teacher-secondary-product-analysis"/>
    <w:p>
      <w:pPr>
        <w:pStyle w:val="Heading2"/>
      </w:pPr>
      <w:r>
        <w:t xml:space="preserve">Teacher Secondary Product Analysis</w:t>
      </w:r>
    </w:p>
    <w:p>
      <w:pPr>
        <w:pStyle w:val="FirstParagraph"/>
      </w:pPr>
      <w:r>
        <w:t xml:space="preserve">Our core success stems from specialized offerings designed explicitly for Argentina's secondary educators. Key products driving performance include:</w:t>
      </w:r>
    </w:p>
    <w:p>
      <w:pPr>
        <w:numPr>
          <w:ilvl w:val="0"/>
          <w:numId w:val="1002"/>
        </w:numPr>
        <w:pStyle w:val="Compact"/>
      </w:pPr>
      <w:r>
        <w:rPr>
          <w:bCs/>
          <w:b/>
        </w:rPr>
        <w:t xml:space="preserve">Planificación Docente Integral (PDI)</w:t>
      </w:r>
      <w:r>
        <w:t xml:space="preserve">: A curriculum-aligned planning tool for secondary teachers that integrates with Argentina's official learning standards (Núcleos de Aprendizaje Prioritarios). This became our best-selling product, contributing 41% of Teacher Secondary revenue.</w:t>
      </w:r>
    </w:p>
    <w:p>
      <w:pPr>
        <w:numPr>
          <w:ilvl w:val="0"/>
          <w:numId w:val="1002"/>
        </w:numPr>
        <w:pStyle w:val="Compact"/>
      </w:pPr>
      <w:r>
        <w:rPr>
          <w:bCs/>
          <w:b/>
        </w:rPr>
        <w:t xml:space="preserve">Pruebas Simuladas Nacionales</w:t>
      </w:r>
      <w:r>
        <w:t xml:space="preserve">: Practice tests mirroring the national secondary evaluation system, with 73% adoption among schools in Buenos Aires Province preparing for final exams.</w:t>
      </w:r>
    </w:p>
    <w:p>
      <w:pPr>
        <w:numPr>
          <w:ilvl w:val="0"/>
          <w:numId w:val="1002"/>
        </w:numPr>
        <w:pStyle w:val="Compact"/>
      </w:pPr>
      <w:r>
        <w:rPr>
          <w:bCs/>
          <w:b/>
        </w:rPr>
        <w:t xml:space="preserve">Formación Continua Virtual</w:t>
      </w:r>
      <w:r>
        <w:t xml:space="preserve">: Monthly workshops addressing pedagogical challenges unique to Argentine secondary classrooms, seeing 280+ educators enroll during Q4.</w:t>
      </w:r>
    </w:p>
    <w:p>
      <w:pPr>
        <w:pStyle w:val="FirstParagraph"/>
      </w:pPr>
      <w:r>
        <w:t xml:space="preserve">The consistent demand for these resources confirms that our focus on the specific needs of Argentina's</w:t>
      </w:r>
      <w:r>
        <w:t xml:space="preserve"> </w:t>
      </w:r>
      <w:r>
        <w:rPr>
          <w:iCs/>
          <w:i/>
        </w:rPr>
        <w:t xml:space="preserve">Teacher Secondary</w:t>
      </w:r>
      <w:r>
        <w:t xml:space="preserve"> </w:t>
      </w:r>
      <w:r>
        <w:t xml:space="preserve">professionals is a strategic advantage. Unlike general education technology vendors, we've built products reflecting local curriculum structures and assessment formats – a critical differentiator in Buenos Aires where teachers must comply with MEC-mandated frameworks.</w:t>
      </w:r>
    </w:p>
    <w:bookmarkEnd w:id="24"/>
    <w:bookmarkStart w:id="25" w:name="challenges-and-strategic-opportunities"/>
    <w:p>
      <w:pPr>
        <w:pStyle w:val="Heading2"/>
      </w:pPr>
      <w:r>
        <w:t xml:space="preserve">Challenges and Strategic Opportunities</w:t>
      </w:r>
    </w:p>
    <w:p>
      <w:pPr>
        <w:pStyle w:val="FirstParagraph"/>
      </w:pPr>
      <w:r>
        <w:t xml:space="preserve">Despite strong performance, our analysis identified two key challenges specific to the Argentina Buenos Aires market:</w:t>
      </w:r>
    </w:p>
    <w:p>
      <w:pPr>
        <w:numPr>
          <w:ilvl w:val="0"/>
          <w:numId w:val="1003"/>
        </w:numPr>
        <w:pStyle w:val="Compact"/>
      </w:pPr>
      <w:r>
        <w:rPr>
          <w:bCs/>
          <w:b/>
        </w:rPr>
        <w:t xml:space="preserve">Economic volatility impact</w:t>
      </w:r>
      <w:r>
        <w:t xml:space="preserve">: Currency fluctuations affected school budget allocations in Q4, though we maintained growth through flexible payment plans.</w:t>
      </w:r>
    </w:p>
    <w:p>
      <w:pPr>
        <w:numPr>
          <w:ilvl w:val="0"/>
          <w:numId w:val="1003"/>
        </w:numPr>
        <w:pStyle w:val="Compact"/>
      </w:pPr>
      <w:r>
        <w:rPr>
          <w:bCs/>
          <w:b/>
        </w:rPr>
        <w:t xml:space="preserve">Regional implementation gaps</w:t>
      </w:r>
      <w:r>
        <w:t xml:space="preserve">: Rural secondary schools outside Buenos Aires City showed lower adoption rates due to connectivity issues, an area for future expansion.</w:t>
      </w:r>
    </w:p>
    <w:p>
      <w:pPr>
        <w:pStyle w:val="FirstParagraph"/>
      </w:pPr>
      <w:r>
        <w:t xml:space="preserve">Conversely, significant opportunities exist:</w:t>
      </w:r>
    </w:p>
    <w:p>
      <w:pPr>
        <w:numPr>
          <w:ilvl w:val="0"/>
          <w:numId w:val="1004"/>
        </w:numPr>
        <w:pStyle w:val="Compact"/>
      </w:pPr>
      <w:r>
        <w:rPr>
          <w:bCs/>
          <w:b/>
        </w:rPr>
        <w:t xml:space="preserve">Government partnerships</w:t>
      </w:r>
      <w:r>
        <w:t xml:space="preserve">: The Buenos Aires Ministry of Education's new "Aulas Tecnológicas" initiative presents a $2.4M potential contract opportunity for Teacher Secondary solutions.</w:t>
      </w:r>
    </w:p>
    <w:p>
      <w:pPr>
        <w:numPr>
          <w:ilvl w:val="0"/>
          <w:numId w:val="1004"/>
        </w:numPr>
        <w:pStyle w:val="Compact"/>
      </w:pPr>
      <w:r>
        <w:rPr>
          <w:bCs/>
          <w:b/>
        </w:rPr>
        <w:t xml:space="preserve">Content localization</w:t>
      </w:r>
      <w:r>
        <w:t xml:space="preserve">: Demand for materials in Argentine Spanish dialects and region-specific examples (e.g., history content about the 1810 May Revolution) remains underserved.</w:t>
      </w:r>
    </w:p>
    <w:bookmarkEnd w:id="25"/>
    <w:bookmarkStart w:id="26" w:name="conclusion-and-strategic-outlook"/>
    <w:p>
      <w:pPr>
        <w:pStyle w:val="Heading2"/>
      </w:pPr>
      <w:r>
        <w:t xml:space="preserve">Conclusion and Strategic Outlook</w:t>
      </w:r>
    </w:p>
    <w:p>
      <w:pPr>
        <w:pStyle w:val="FirstParagraph"/>
      </w:pPr>
      <w:r>
        <w:t xml:space="preserve">This Sales Report confirms that our focused approach to serving Argentina's Teacher Secondary market has yielded exceptional results in Buenos Aires. The 37% YoY growth demonstrates not only strong commercial performance but also deep market validation of our tailored educational solutions. As Argentina's education system continues evolving, with Buenos Aires leading implementation of national secondary reforms, the demand for specialized Teacher Secondary resources will remain robust.</w:t>
      </w:r>
    </w:p>
    <w:p>
      <w:pPr>
        <w:pStyle w:val="BodyText"/>
      </w:pPr>
      <w:r>
        <w:t xml:space="preserve">We recommend prioritizing two strategic actions for Q1 2024: (1) Developing a dedicated "Buenos Aires Curriculum Companion" package aligned with municipal education directives, and (2) Launching a digital literacy program specifically designed for secondary teachers in under-resourced schools within the province. These initiatives will further cement our position as the preferred partner for Teacher Secondary professionals across Argentina Buenos Aires.</w:t>
      </w:r>
    </w:p>
    <w:p>
      <w:pPr>
        <w:pStyle w:val="BodyText"/>
      </w:pPr>
      <w:r>
        <w:t xml:space="preserve">Our data clearly shows that when educational technology solutions are thoughtfully engineered for Argentina's unique secondary education context, they achieve exceptional adoption rates and sustained growth. The Teacher Secondary segment isn't just a market category – it's the engine driving our success in the heart of Argentine education innovation. We remain committed to being the indispensable partner for educators navigating Buenos Aires' dynamic secondary school landscape.</w:t>
      </w:r>
    </w:p>
    <w:p>
      <w:pPr>
        <w:pStyle w:val="BodyText"/>
      </w:pPr>
      <w:r>
        <w:t xml:space="preserve">Prepared by Educational Solutions Argentina | November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Buenos Aires Teacher Secondary Sales Report</dc:title>
  <dc:creator/>
  <cp:keywords/>
  <dcterms:created xsi:type="dcterms:W3CDTF">2025-12-11T15:58:43Z</dcterms:created>
  <dcterms:modified xsi:type="dcterms:W3CDTF">2025-12-11T15:58:43Z</dcterms:modified>
</cp:coreProperties>
</file>

<file path=docProps/custom.xml><?xml version="1.0" encoding="utf-8"?>
<Properties xmlns="http://schemas.openxmlformats.org/officeDocument/2006/custom-properties" xmlns:vt="http://schemas.openxmlformats.org/officeDocument/2006/docPropsVTypes"/>
</file>