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Australia</w:t>
      </w:r>
      <w:r>
        <w:t xml:space="preserve"> </w:t>
      </w:r>
      <w:r>
        <w:t xml:space="preserve">Brisbane</w:t>
      </w:r>
    </w:p>
    <w:bookmarkStart w:id="27" w:name="X3ee4a75338ba9707389e171fb9f07ea8976d2bc"/>
    <w:p>
      <w:pPr>
        <w:pStyle w:val="Heading1"/>
      </w:pPr>
      <w:r>
        <w:t xml:space="preserve">Teacher Secondary Sales Performance Report - Australia Brisbane Market (Q3 2023)</w:t>
      </w:r>
    </w:p>
    <w:p>
      <w:pPr>
        <w:pStyle w:val="FirstParagraph"/>
      </w:pPr>
      <w:r>
        <w:rPr>
          <w:bCs/>
          <w:b/>
        </w:rPr>
        <w:t xml:space="preserve">Prepared For:</w:t>
      </w:r>
      <w:r>
        <w:t xml:space="preserve"> </w:t>
      </w:r>
      <w:r>
        <w:t xml:space="preserve">National Education Solutions Leadership Team</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comprehensive Sales Report details the performance of our Teacher Secondary product portfolio across the Brisbane education market within Australia. The quarter demonstrated exceptional growth in secondary school adoption rates, with Brisbane emerging as our strongest regional hub for educational technology solutions tailored to Australian high school educators. Our strategic focus on addressing Queensland's unique curriculum requirements (particularly ACARA compliance and senior subject specializations) has yielded remarkable results, positioning us as the preferred partner for Teacher Secondary engagement across Australia.</w:t>
      </w:r>
    </w:p>
    <w:bookmarkEnd w:id="20"/>
    <w:bookmarkStart w:id="21" w:name="q3-2023-sales-performance-overview"/>
    <w:p>
      <w:pPr>
        <w:pStyle w:val="Heading2"/>
      </w:pPr>
      <w:r>
        <w:t xml:space="preserve">Q3 2023 Sales Performance Overview</w:t>
      </w:r>
    </w:p>
    <w:p>
      <w:pPr>
        <w:pStyle w:val="FirstParagraph"/>
      </w:pPr>
      <w:r>
        <w:rPr>
          <w:bCs/>
          <w:b/>
        </w:rPr>
        <w:t xml:space="preserve">Key Metrics:</w:t>
      </w:r>
      <w:r>
        <w:t xml:space="preserve"> </w:t>
      </w:r>
      <w:r>
        <w:t xml:space="preserve">Total Sales Value: $1.87M (67% YoY growth) | New Teacher Secondary Client Acquisition: 49 schools (+41% QoQ) | Brisbane Market Share: 38.2% (up from 29.5% last quarter)</w:t>
      </w:r>
    </w:p>
    <w:p>
      <w:pPr>
        <w:pStyle w:val="BodyText"/>
      </w:pPr>
      <w:r>
        <w:t xml:space="preserve">Product Category</w:t>
      </w:r>
    </w:p>
    <w:p>
      <w:pPr>
        <w:pStyle w:val="BodyText"/>
      </w:pPr>
      <w:r>
        <w:t xml:space="preserve">Brisbane Sales (Q3)</w:t>
      </w:r>
    </w:p>
    <w:p>
      <w:pPr>
        <w:pStyle w:val="BodyText"/>
      </w:pPr>
      <w:r>
        <w:t xml:space="preserve">Australia National Average</w:t>
      </w:r>
    </w:p>
    <w:p>
      <w:pPr>
        <w:pStyle w:val="BodyText"/>
      </w:pPr>
      <w:r>
        <w:t xml:space="preserve">QoQ Change (Brisbane)</w:t>
      </w:r>
    </w:p>
    <w:p>
      <w:pPr>
        <w:pStyle w:val="BodyText"/>
      </w:pPr>
      <w:r>
        <w:t xml:space="preserve">Curriculum Alignment Tools</w:t>
      </w:r>
    </w:p>
    <w:p>
      <w:pPr>
        <w:pStyle w:val="BodyText"/>
      </w:pPr>
      <w:r>
        <w:t xml:space="preserve">$685,000</w:t>
      </w:r>
    </w:p>
    <w:p>
      <w:pPr>
        <w:pStyle w:val="BodyText"/>
      </w:pPr>
      <w:r>
        <w:t xml:space="preserve">$421,000</w:t>
      </w:r>
    </w:p>
    <w:p>
      <w:pPr>
        <w:pStyle w:val="BodyText"/>
      </w:pPr>
      <w:r>
        <w:t xml:space="preserve">+34%</w:t>
      </w:r>
    </w:p>
    <w:p>
      <w:pPr>
        <w:pStyle w:val="BodyText"/>
      </w:pPr>
      <w:r>
        <w:t xml:space="preserve">Assessment Management Platform</w:t>
      </w:r>
    </w:p>
    <w:p>
      <w:pPr>
        <w:pStyle w:val="BodyText"/>
      </w:pPr>
      <w:r>
        <w:t xml:space="preserve">$527,856</w:t>
      </w:r>
    </w:p>
    <w:p>
      <w:pPr>
        <w:pStyle w:val="BodyText"/>
      </w:pPr>
      <w:r>
        <w:t xml:space="preserve">$398,127</w:t>
      </w:r>
    </w:p>
    <w:p>
      <w:pPr>
        <w:pStyle w:val="BodyText"/>
      </w:pPr>
      <w:r>
        <w:t xml:space="preserve">+43%</w:t>
      </w:r>
    </w:p>
    <w:p>
      <w:pPr>
        <w:pStyle w:val="BodyText"/>
      </w:pPr>
      <w:r>
        <w:t xml:space="preserve">Professional Development Modules (Secondary Focus)</w:t>
      </w:r>
    </w:p>
    <w:bookmarkEnd w:id="21"/>
    <w:bookmarkStart w:id="22" w:name="Xdf5a06fd75d4cfc1846ace18fd95559826b1c21"/>
    <w:p>
      <w:pPr>
        <w:pStyle w:val="Heading2"/>
      </w:pPr>
      <w:r>
        <w:t xml:space="preserve">Brisbane Market Analysis: Teacher Secondary Success Drivers</w:t>
      </w:r>
    </w:p>
    <w:p>
      <w:pPr>
        <w:pStyle w:val="FirstParagraph"/>
      </w:pPr>
      <w:r>
        <w:t xml:space="preserve">The Brisbane education market has become the cornerstone of our Teacher Secondary strategy in Australia. This performance stems from three critical factors:</w:t>
      </w:r>
    </w:p>
    <w:p>
      <w:pPr>
        <w:numPr>
          <w:ilvl w:val="0"/>
          <w:numId w:val="1001"/>
        </w:numPr>
        <w:pStyle w:val="Compact"/>
      </w:pPr>
      <w:r>
        <w:rPr>
          <w:bCs/>
          <w:b/>
        </w:rPr>
        <w:t xml:space="preserve">Hyper-Local Curriculum Integration:</w:t>
      </w:r>
      <w:r>
        <w:t xml:space="preserve"> </w:t>
      </w:r>
      <w:r>
        <w:t xml:space="preserve">Our Brisbane sales team collaborated with Queensland Department of Education specialists to develop ACARA-aligned secondary resources for senior subjects (Maths Methods, English Literature, Biology). This targeted approach directly addressed Queensland's unique assessment requirements, making our Teacher Secondary solutions indispensable.</w:t>
      </w:r>
    </w:p>
    <w:p>
      <w:pPr>
        <w:numPr>
          <w:ilvl w:val="0"/>
          <w:numId w:val="1001"/>
        </w:numPr>
        <w:pStyle w:val="Compact"/>
      </w:pPr>
      <w:r>
        <w:rPr>
          <w:bCs/>
          <w:b/>
        </w:rPr>
        <w:t xml:space="preserve">Community Partnerships:</w:t>
      </w:r>
      <w:r>
        <w:t xml:space="preserve"> </w:t>
      </w:r>
      <w:r>
        <w:t xml:space="preserve">Strategic alliances with Brisbane-based institutions like the University of Queensland's Faculty of Education and local SCU networks resulted in 17 new district-wide contracts. These partnerships facilitated direct access to secondary principals during the critical planning phase for Term 4 implementation.</w:t>
      </w:r>
    </w:p>
    <w:p>
      <w:pPr>
        <w:numPr>
          <w:ilvl w:val="0"/>
          <w:numId w:val="1001"/>
        </w:numPr>
        <w:pStyle w:val="Compact"/>
      </w:pPr>
      <w:r>
        <w:rPr>
          <w:bCs/>
          <w:b/>
        </w:rPr>
        <w:t xml:space="preserve">Regional Sales Specialist Deployment:</w:t>
      </w:r>
      <w:r>
        <w:t xml:space="preserve"> </w:t>
      </w:r>
      <w:r>
        <w:t xml:space="preserve">Our investment in Brisbane-based Teacher Secondary account managers (increasing headcount by 60% this year) enabled rapid response to school-specific needs. This localized expertise was crucial when addressing Queensland's recent curriculum changes affecting Year 11-12 teaching practices.</w:t>
      </w:r>
    </w:p>
    <w:bookmarkEnd w:id="22"/>
    <w:bookmarkStart w:id="23" w:name="X64b724b306f9b5b1240dea242a4389aff80da6f"/>
    <w:p>
      <w:pPr>
        <w:pStyle w:val="Heading2"/>
      </w:pPr>
      <w:r>
        <w:t xml:space="preserve">Key Achievements in Australia Brisbane Context</w:t>
      </w:r>
    </w:p>
    <w:p>
      <w:pPr>
        <w:pStyle w:val="FirstParagraph"/>
      </w:pPr>
      <w:r>
        <w:rPr>
          <w:bCs/>
          <w:b/>
        </w:rPr>
        <w:t xml:space="preserve">Breakthrough Achievement:</w:t>
      </w:r>
      <w:r>
        <w:t xml:space="preserve"> </w:t>
      </w:r>
      <w:r>
        <w:t xml:space="preserve">Secured a $385,000 multi-year contract with Brisbane Catholic Education (BCE) covering 147 secondary schools – the largest Teacher Secondary implementation in our company's history within Australia. This deal included customized resources for Catholic secondary schools' unique pedagogical frameworks.</w:t>
      </w:r>
    </w:p>
    <w:p>
      <w:pPr>
        <w:pStyle w:val="BodyText"/>
      </w:pPr>
      <w:r>
        <w:rPr>
          <w:bCs/>
          <w:b/>
        </w:rPr>
        <w:t xml:space="preserve">Regional Sales Milestones:</w:t>
      </w:r>
    </w:p>
    <w:p>
      <w:pPr>
        <w:numPr>
          <w:ilvl w:val="0"/>
          <w:numId w:val="1002"/>
        </w:numPr>
        <w:pStyle w:val="Compact"/>
      </w:pPr>
      <w:r>
        <w:t xml:space="preserve">First-to-market adoption of our "Senior Subject Mastery" suite across 28 Brisbane state high schools</w:t>
      </w:r>
    </w:p>
    <w:p>
      <w:pPr>
        <w:numPr>
          <w:ilvl w:val="0"/>
          <w:numId w:val="1002"/>
        </w:numPr>
        <w:pStyle w:val="Compact"/>
      </w:pPr>
      <w:r>
        <w:t xml:space="preserve">37% increase in cross-selling opportunities between Teacher Secondary and our student analytics platform</w:t>
      </w:r>
    </w:p>
    <w:p>
      <w:pPr>
        <w:numPr>
          <w:ilvl w:val="0"/>
          <w:numId w:val="1002"/>
        </w:numPr>
        <w:pStyle w:val="Compact"/>
      </w:pPr>
      <w:r>
        <w:t xml:space="preserve">100% retention rate with Brisbane secondary schools implementing solutions in Q2 2023</w:t>
      </w:r>
    </w:p>
    <w:bookmarkEnd w:id="23"/>
    <w:bookmarkStart w:id="24" w:name="Xcdc2ea310270133a7488d4b52db4c34663182f7"/>
    <w:p>
      <w:pPr>
        <w:pStyle w:val="Heading2"/>
      </w:pPr>
      <w:r>
        <w:t xml:space="preserve">Challenges and Strategic Responses (Brisbane Focus)</w:t>
      </w:r>
    </w:p>
    <w:p>
      <w:pPr>
        <w:pStyle w:val="FirstParagraph"/>
      </w:pPr>
      <w:r>
        <w:t xml:space="preserve">While Brisbane delivered outstanding results, we encountered region-specific challenges requiring agile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Australian Brisbane Context</w:t>
            </w:r>
          </w:p>
        </w:tc>
        <w:tc>
          <w:tcPr/>
          <w:p>
            <w:pPr>
              <w:pStyle w:val="Compact"/>
              <w:jc w:val="left"/>
            </w:pPr>
            <w:r>
              <w:t xml:space="preserve">Our Strategic Response</w:t>
            </w:r>
          </w:p>
        </w:tc>
      </w:tr>
      <w:tr>
        <w:tc>
          <w:tcPr/>
          <w:p>
            <w:pPr>
              <w:pStyle w:val="Compact"/>
              <w:jc w:val="left"/>
            </w:pPr>
            <w:r>
              <w:t xml:space="preserve">Rapid Curriculum Changes in QLD</w:t>
            </w:r>
          </w:p>
        </w:tc>
        <w:tc>
          <w:tcPr/>
          <w:p>
            <w:pPr>
              <w:pStyle w:val="Compact"/>
              <w:jc w:val="left"/>
            </w:pPr>
            <w:r>
              <w:t xml:space="preserve">Queensland Education Minister's 2023 curriculum refresh affected 65% of secondary subjects, creating uncertainty for schools.</w:t>
            </w:r>
          </w:p>
        </w:tc>
        <w:tc>
          <w:tcPr/>
          <w:p>
            <w:pPr>
              <w:pStyle w:val="Compact"/>
              <w:jc w:val="left"/>
            </w:pPr>
            <w:r>
              <w:t xml:space="preserve">Leveraged Brisbane-based curriculum experts to develop "Adaptive Resource Packs" released within 14 days of policy announcements.</w:t>
            </w:r>
          </w:p>
        </w:tc>
      </w:tr>
      <w:tr>
        <w:tc>
          <w:tcPr/>
          <w:p>
            <w:pPr>
              <w:pStyle w:val="Compact"/>
              <w:jc w:val="left"/>
            </w:pPr>
            <w:r>
              <w:t xml:space="preserve">Competition from Local EdTech Startups</w:t>
            </w:r>
          </w:p>
        </w:tc>
        <w:tc>
          <w:tcPr/>
          <w:p>
            <w:pPr>
              <w:pStyle w:val="Compact"/>
              <w:jc w:val="left"/>
            </w:pPr>
            <w:r>
              <w:t xml:space="preserve">Brisbane's thriving startup ecosystem created local competitors offering cheaper, less specialized secondary solutions.</w:t>
            </w:r>
          </w:p>
        </w:tc>
        <w:tc>
          <w:tcPr/>
          <w:p>
            <w:pPr>
              <w:pStyle w:val="Compact"/>
              <w:jc w:val="left"/>
            </w:pPr>
            <w:r>
              <w:t xml:space="preserve">Deployed our Teacher Secondary "Value Proposition Framework" demonstrating ROI through Queensland-specific case studies (e.g., 23% improvement in NAPLAN scores at partner schools).</w:t>
            </w:r>
          </w:p>
        </w:tc>
      </w:tr>
      <w:tr>
        <w:tc>
          <w:tcPr/>
          <w:p>
            <w:pPr>
              <w:pStyle w:val="Compact"/>
              <w:jc w:val="left"/>
            </w:pPr>
            <w:r>
              <w:t xml:space="preserve">Regional School Budget Constraints</w:t>
            </w:r>
          </w:p>
        </w:tc>
        <w:tc>
          <w:tcPr/>
          <w:p>
            <w:pPr>
              <w:pStyle w:val="Compact"/>
              <w:jc w:val="left"/>
            </w:pPr>
            <w:r>
              <w:t xml:space="preserve">Queensland school funding cuts impacted secondary technology budgets by 18% nationally.</w:t>
            </w:r>
          </w:p>
        </w:tc>
        <w:tc>
          <w:tcPr/>
          <w:p>
            <w:pPr>
              <w:pStyle w:val="Compact"/>
              <w:jc w:val="left"/>
            </w:pPr>
            <w:r>
              <w:t xml:space="preserve">Designed flexible payment plans and bundled offerings that reduced initial costs by 32% for Brisbane schools without compromising Teacher Secondary quality.</w:t>
            </w:r>
          </w:p>
        </w:tc>
      </w:tr>
    </w:tbl>
    <w:bookmarkEnd w:id="24"/>
    <w:bookmarkStart w:id="25" w:name="X7826302fdb685a3c1d940be7f7fe568655372d6"/>
    <w:p>
      <w:pPr>
        <w:pStyle w:val="Heading2"/>
      </w:pPr>
      <w:r>
        <w:t xml:space="preserve">Future Strategy: Scaling Teacher Secondary Excellence in Australia</w:t>
      </w:r>
    </w:p>
    <w:p>
      <w:pPr>
        <w:pStyle w:val="FirstParagraph"/>
      </w:pPr>
      <w:r>
        <w:t xml:space="preserve">Brisbane's success has cemented our approach for expanding the Teacher Secondary portfolio across Australia. Our 2024 strategy includes:</w:t>
      </w:r>
    </w:p>
    <w:p>
      <w:pPr>
        <w:numPr>
          <w:ilvl w:val="0"/>
          <w:numId w:val="1003"/>
        </w:numPr>
        <w:pStyle w:val="Compact"/>
      </w:pPr>
      <w:r>
        <w:rPr>
          <w:bCs/>
          <w:b/>
        </w:rPr>
        <w:t xml:space="preserve">Brisbane Innovation Hub Expansion:</w:t>
      </w:r>
      <w:r>
        <w:t xml:space="preserve"> </w:t>
      </w:r>
      <w:r>
        <w:t xml:space="preserve">Establishing a dedicated Teacher Secondary R&amp;D center at our Brisbane office to develop curriculum-specific solutions for all Australian states, with priority on Queensland's senior subject requirements.</w:t>
      </w:r>
    </w:p>
    <w:p>
      <w:pPr>
        <w:numPr>
          <w:ilvl w:val="0"/>
          <w:numId w:val="1003"/>
        </w:numPr>
        <w:pStyle w:val="Compact"/>
      </w:pPr>
      <w:r>
        <w:rPr>
          <w:bCs/>
          <w:b/>
        </w:rPr>
        <w:t xml:space="preserve">Statewide Partnership Program:</w:t>
      </w:r>
      <w:r>
        <w:t xml:space="preserve"> </w:t>
      </w:r>
      <w:r>
        <w:t xml:space="preserve">Creating the "Brisbane Education Alliance" model to replicate our BCE success across other Australian metropolitan regions. This will include co-branded professional development events at Brisbane venues like the Brisbane Convention &amp; Exhibition Centre.</w:t>
      </w:r>
    </w:p>
    <w:p>
      <w:pPr>
        <w:numPr>
          <w:ilvl w:val="0"/>
          <w:numId w:val="1003"/>
        </w:numPr>
        <w:pStyle w:val="Compact"/>
      </w:pPr>
      <w:r>
        <w:rPr>
          <w:bCs/>
          <w:b/>
        </w:rPr>
        <w:t xml:space="preserve">Teacher Secondary Certification Pathway:</w:t>
      </w:r>
      <w:r>
        <w:t xml:space="preserve"> </w:t>
      </w:r>
      <w:r>
        <w:t xml:space="preserve">Developing a Queensland-specific certification for educators using our platform, directly addressing the state's mandatory professional learning requirements.</w:t>
      </w:r>
    </w:p>
    <w:bookmarkEnd w:id="25"/>
    <w:bookmarkStart w:id="26" w:name="Xff559273017f77471bb4c1b7106986c1d62afa0"/>
    <w:p>
      <w:pPr>
        <w:pStyle w:val="Heading2"/>
      </w:pPr>
      <w:r>
        <w:t xml:space="preserve">Conclusion: Positioning for National Leadership</w:t>
      </w:r>
    </w:p>
    <w:p>
      <w:pPr>
        <w:pStyle w:val="FirstParagraph"/>
      </w:pPr>
      <w:r>
        <w:t xml:space="preserve">The Brisbane market has unequivocally proven that our Teacher Secondary approach delivers exceptional value within Australia's education ecosystem. By embedding ourselves within Brisbane's educational community – understanding the nuances of Queensland's curriculum, school structures, and teaching challenges – we've achieved market leadership in a segment critical to Australia's future workforce development. This success isn't isolated to Brisbane; it represents a scalable model for national expansion that will position us as the definitive provider of Teacher Secondary solutions across all Australian states.</w:t>
      </w:r>
    </w:p>
    <w:p>
      <w:pPr>
        <w:pStyle w:val="BodyText"/>
      </w:pPr>
      <w:r>
        <w:t xml:space="preserve">As we move into Q4 2023, our focus remains on deepening relationships within Australia Brisbane's secondary education sector while leveraging this momentum to drive national growth. The data is clear: When Teacher Secondary solutions are designed with hyper-local educational context – particularly in a dynamic market like Brisbane – they become essential tools for school success, driving sustainable revenue growth and meaningful impact across Australian classrooms.</w:t>
      </w:r>
    </w:p>
    <w:p>
      <w:pPr>
        <w:pStyle w:val="BodyText"/>
      </w:pPr>
      <w:r>
        <w:rPr>
          <w:bCs/>
          <w:b/>
        </w:rPr>
        <w:t xml:space="preserve">Final Note:</w:t>
      </w:r>
      <w:r>
        <w:t xml:space="preserve"> </w:t>
      </w:r>
      <w:r>
        <w:t xml:space="preserve">This Sales Report demonstrates that Brisbane isn't just a regional market for Teacher Secondary products – it's the innovation engine for our entire Australia education strategy. By continuing to invest in Brisbane's unique educational ecosystem, we will maintain our leadership position in Teacher Secondary solutions across the Australian continent.</w:t>
      </w:r>
    </w:p>
    <w:p>
      <w:pPr>
        <w:pStyle w:val="BodyText"/>
      </w:pPr>
      <w:r>
        <w:t xml:space="preserve">© 2023 National Education Solutions | Sales Report: Teacher Secondary Focus - Australia Brisbane Market | Confidential</w:t>
      </w:r>
    </w:p>
    <w:p>
      <w:pPr>
        <w:pStyle w:val="BodyText"/>
      </w:pPr>
      <w:r>
        <w:t xml:space="preserve">This document meets all requirements for quarterly reporting under Australia's Education Technology Transparency Framework (ETTF)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Performance Report - Australia Brisbane</dc:title>
  <dc:creator/>
  <dc:language>en</dc:language>
  <cp:keywords/>
  <dcterms:created xsi:type="dcterms:W3CDTF">2025-12-13T10:01:07Z</dcterms:created>
  <dcterms:modified xsi:type="dcterms:W3CDTF">2025-12-13T10:01:07Z</dcterms:modified>
</cp:coreProperties>
</file>

<file path=docProps/custom.xml><?xml version="1.0" encoding="utf-8"?>
<Properties xmlns="http://schemas.openxmlformats.org/officeDocument/2006/custom-properties" xmlns:vt="http://schemas.openxmlformats.org/officeDocument/2006/docPropsVTypes"/>
</file>