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Secondary</w:t>
      </w:r>
      <w:r>
        <w:t xml:space="preserve"> </w:t>
      </w:r>
      <w:r>
        <w:t xml:space="preserve">Teacher</w:t>
      </w:r>
      <w:r>
        <w:t xml:space="preserve"> </w:t>
      </w:r>
      <w:r>
        <w:t xml:space="preserve">Recruitment</w:t>
      </w:r>
      <w:r>
        <w:t xml:space="preserve"> </w:t>
      </w:r>
      <w:r>
        <w:t xml:space="preserve">Sales</w:t>
      </w:r>
      <w:r>
        <w:t xml:space="preserve"> </w:t>
      </w:r>
      <w:r>
        <w:t xml:space="preserve">Report</w:t>
      </w:r>
      <w:r>
        <w:t xml:space="preserve"> </w:t>
      </w:r>
      <w:r>
        <w:t xml:space="preserve">-</w:t>
      </w:r>
      <w:r>
        <w:t xml:space="preserve"> </w:t>
      </w:r>
      <w:r>
        <w:t xml:space="preserve">Melbourne</w:t>
      </w:r>
      <w:r>
        <w:t xml:space="preserve"> </w:t>
      </w:r>
      <w:r>
        <w:t xml:space="preserve">Australia</w:t>
      </w:r>
    </w:p>
    <w:bookmarkStart w:id="31" w:name="X334664ae1b0ed2e00919992a38e623ea0dc88c4"/>
    <w:p>
      <w:pPr>
        <w:pStyle w:val="Heading1"/>
      </w:pPr>
      <w:r>
        <w:t xml:space="preserve">Sales Report: Secondary Teacher Recruitment Success in Melbourne, Australia</w:t>
      </w:r>
    </w:p>
    <w:bookmarkStart w:id="20" w:name="executive-summary"/>
    <w:p>
      <w:pPr>
        <w:pStyle w:val="Heading2"/>
      </w:pPr>
      <w:r>
        <w:t xml:space="preserve">Executive Summary</w:t>
      </w:r>
    </w:p>
    <w:p>
      <w:pPr>
        <w:pStyle w:val="FirstParagraph"/>
      </w:pPr>
      <w:r>
        <w:t xml:space="preserve">This comprehensive Sales Report details the recruitment performance for Secondary Teacher positions across Melbourne's education sector during Q3 2023. The report confirms exceptional market penetration and placement success rates, demonstrating robust demand for qualified Secondary Teachers in Australia's premier educational hub. Our strategic focus on Melbourne's unique educational landscape has yielded a 28% year-on-year increase in successful placements, solidifying our position as the leading recruitment partner for secondary education in Victoria.</w:t>
      </w:r>
    </w:p>
    <w:bookmarkEnd w:id="20"/>
    <w:bookmarkStart w:id="21" w:name="X17c8c3b2e6355519eabf0663a49c03eeada43ea"/>
    <w:p>
      <w:pPr>
        <w:pStyle w:val="Heading2"/>
      </w:pPr>
      <w:r>
        <w:t xml:space="preserve">Market Context: Secondary Education Demand in Melbourne</w:t>
      </w:r>
    </w:p>
    <w:p>
      <w:pPr>
        <w:pStyle w:val="FirstParagraph"/>
      </w:pPr>
      <w:r>
        <w:t xml:space="preserve">Melbourne continues to represent Australia's most dynamic educational market, with 14.7% annual growth in secondary school enrollments (Victorian Department of Education, 2023). This surge directly fuels critical demand for specialized Teacher Secondary talent across metropolitan and regional campuses. The Melbourne CBD and surrounding municipalities (including the Eastern Suburbs, Western Region, and Northern Growth Corridors) now require 43% more Secondary Teachers than in 2020 to meet demographic pressures from new housing developments like 'Melbourne Airport City' and expanded university precincts.</w:t>
      </w:r>
    </w:p>
    <w:bookmarkEnd w:id="21"/>
    <w:bookmarkStart w:id="22" w:name="key-sales-performance-metrics"/>
    <w:p>
      <w:pPr>
        <w:pStyle w:val="Heading2"/>
      </w:pPr>
      <w:r>
        <w:t xml:space="preserve">Key Sales Performance Metrics</w:t>
      </w:r>
    </w:p>
    <w:p>
      <w:pPr>
        <w:pStyle w:val="FirstParagraph"/>
      </w:pPr>
      <w:r>
        <w:t xml:space="preserve">Category</w:t>
      </w:r>
    </w:p>
    <w:p>
      <w:pPr>
        <w:pStyle w:val="BodyText"/>
      </w:pPr>
      <w:r>
        <w:t xml:space="preserve">Q3 2023</w:t>
      </w:r>
    </w:p>
    <w:p>
      <w:pPr>
        <w:pStyle w:val="BodyText"/>
      </w:pPr>
      <w:r>
        <w:t xml:space="preserve">YoY Change</w:t>
      </w:r>
    </w:p>
    <w:p>
      <w:pPr>
        <w:pStyle w:val="BodyText"/>
      </w:pPr>
      <w:r>
        <w:t xml:space="preserve">Target Achievement</w:t>
      </w:r>
    </w:p>
    <w:p>
      <w:pPr>
        <w:pStyle w:val="BodyText"/>
      </w:pPr>
      <w:r>
        <w:t xml:space="preserve">Total Secondary Placements</w:t>
      </w:r>
    </w:p>
    <w:p>
      <w:pPr>
        <w:pStyle w:val="BodyText"/>
      </w:pPr>
      <w:r>
        <w:t xml:space="preserve">187</w:t>
      </w:r>
    </w:p>
    <w:p>
      <w:pPr>
        <w:pStyle w:val="BodyText"/>
      </w:pPr>
      <w:r>
        <w:t xml:space="preserve">+28%</w:t>
      </w:r>
    </w:p>
    <w:p>
      <w:pPr>
        <w:pStyle w:val="BodyText"/>
      </w:pPr>
      <w:r>
        <w:t xml:space="preserve">104%</w:t>
      </w:r>
    </w:p>
    <w:p>
      <w:pPr>
        <w:pStyle w:val="BodyText"/>
      </w:pPr>
      <w:r>
        <w:t xml:space="preserve">Mathematics &amp; STEM Roles</w:t>
      </w:r>
    </w:p>
    <w:p>
      <w:pPr>
        <w:pStyle w:val="BodyText"/>
      </w:pPr>
      <w:r>
        <w:t xml:space="preserve">42</w:t>
      </w:r>
    </w:p>
    <w:p>
      <w:pPr>
        <w:pStyle w:val="BodyText"/>
      </w:pPr>
      <w:r>
        <w:t xml:space="preserve">&lt;</w:t>
      </w:r>
    </w:p>
    <w:p>
      <w:pPr>
        <w:pStyle w:val="BodyText"/>
      </w:pPr>
      <w:r>
        <w:t xml:space="preserve">+39%</w:t>
      </w:r>
    </w:p>
    <w:p>
      <w:pPr>
        <w:pStyle w:val="BodyText"/>
      </w:pPr>
      <w:r>
        <w:t xml:space="preserve">&lt;</w:t>
      </w:r>
    </w:p>
    <w:p>
      <w:pPr>
        <w:pStyle w:val="BodyText"/>
      </w:pPr>
      <w:r>
        <w:t xml:space="preserve">115%</w:t>
      </w:r>
    </w:p>
    <w:p>
      <w:pPr>
        <w:pStyle w:val="BodyText"/>
      </w:pPr>
      <w:r>
        <w:t xml:space="preserve">Digital Technologies Specializations</w:t>
      </w:r>
    </w:p>
    <w:p>
      <w:pPr>
        <w:pStyle w:val="BodyText"/>
      </w:pPr>
      <w:r>
        <w:t xml:space="preserve">New Priority Category (Q2 2023)</w:t>
      </w:r>
    </w:p>
    <w:p>
      <w:pPr>
        <w:pStyle w:val="BodyText"/>
      </w:pPr>
      <w:r>
        <w:t xml:space="preserve">  Placements</w:t>
      </w:r>
    </w:p>
    <w:p>
      <w:pPr>
        <w:pStyle w:val="BodyText"/>
      </w:pPr>
      <w:r>
        <w:t xml:space="preserve">68</w:t>
      </w:r>
    </w:p>
    <w:p>
      <w:pPr>
        <w:pStyle w:val="BodyText"/>
      </w:pPr>
      <w:r>
        <w:t xml:space="preserve">N/A (First Quarter)</w:t>
      </w:r>
    </w:p>
    <w:p>
      <w:pPr>
        <w:pStyle w:val="BodyText"/>
      </w:pPr>
      <w:r>
        <w:t xml:space="preserve">153%</w:t>
      </w:r>
    </w:p>
    <w:p>
      <w:pPr>
        <w:pStyle w:val="BodyText"/>
      </w:pPr>
      <w:r>
        <w:t xml:space="preserve">Indigenous Education Roles</w:t>
      </w:r>
    </w:p>
    <w:p>
      <w:pPr>
        <w:pStyle w:val="BodyText"/>
      </w:pPr>
      <w:r>
        <w:t xml:space="preserve">23</w:t>
      </w:r>
    </w:p>
    <w:p>
      <w:pPr>
        <w:pStyle w:val="BodyText"/>
      </w:pPr>
      <w:r>
        <w:t xml:space="preserve">+74% (Government Initiative)</w:t>
      </w:r>
    </w:p>
    <w:bookmarkEnd w:id="22"/>
    <w:bookmarkStart w:id="26" w:name="X27cdd404b69dcb829fe05db9d12dc96b5f6851f"/>
    <w:p>
      <w:pPr>
        <w:pStyle w:val="Heading2"/>
      </w:pPr>
      <w:r>
        <w:t xml:space="preserve">Strategic Success Drivers in Melbourne's Market</w:t>
      </w:r>
    </w:p>
    <w:p>
      <w:pPr>
        <w:pStyle w:val="FirstParagraph"/>
      </w:pPr>
      <w:r>
        <w:t xml:space="preserve">Our unprecedented success in Melbourne stems from three tailored approaches:</w:t>
      </w:r>
    </w:p>
    <w:bookmarkStart w:id="23" w:name="Xab6e7b0c701b233a7d32b81cf66a3fbd2fa2a18"/>
    <w:p>
      <w:pPr>
        <w:pStyle w:val="Heading3"/>
      </w:pPr>
      <w:r>
        <w:t xml:space="preserve">1. Curriculum Alignment with Victorian Education Standards</w:t>
      </w:r>
    </w:p>
    <w:p>
      <w:pPr>
        <w:pStyle w:val="FirstParagraph"/>
      </w:pPr>
      <w:r>
        <w:t xml:space="preserve">We've embedded Victoria's 2023 Curriculum Framework into all recruitment processes, ensuring every Teacher Secondary candidate demonstrates explicit capability in VCE (Victorian Certificate of Education) delivery. This strategic alignment directly addressed Melbourne schools' top priority, resulting in a 92% retention rate for placed teachers beyond the first term – significantly above industry average (78%).</w:t>
      </w:r>
    </w:p>
    <w:bookmarkEnd w:id="23"/>
    <w:bookmarkStart w:id="24" w:name="metro-regional-placement-algorithm"/>
    <w:p>
      <w:pPr>
        <w:pStyle w:val="Heading3"/>
      </w:pPr>
      <w:r>
        <w:t xml:space="preserve">2. Metro-Regional Placement Algorithm</w:t>
      </w:r>
    </w:p>
    <w:p>
      <w:pPr>
        <w:pStyle w:val="FirstParagraph"/>
      </w:pPr>
      <w:r>
        <w:t xml:space="preserve">Our proprietary algorithm maps teacher preferences to specific Melbourne geography needs:</w:t>
      </w:r>
      <w:r>
        <w:t xml:space="preserve"> </w:t>
      </w:r>
      <w:r>
        <w:t xml:space="preserve">• Urban campuses (e.g., Melbourne Grammar, Caulfield Grammar)</w:t>
      </w:r>
      <w:r>
        <w:t xml:space="preserve"> </w:t>
      </w:r>
      <w:r>
        <w:t xml:space="preserve">• Suburban schools with high refugee settlement populations (e.g., Dandenong, Sunshine)</w:t>
      </w:r>
      <w:r>
        <w:t xml:space="preserve"> </w:t>
      </w:r>
      <w:r>
        <w:t xml:space="preserve">• Regional centers experiencing teacher shortages (Ballarat, Geelong).</w:t>
      </w:r>
      <w:r>
        <w:t xml:space="preserve"> </w:t>
      </w:r>
      <w:r>
        <w:t xml:space="preserve">This targeted approach eliminated 47% of traditional mismatch-related vacancies in Q3.</w:t>
      </w:r>
    </w:p>
    <w:bookmarkEnd w:id="24"/>
    <w:bookmarkStart w:id="25" w:name="X4ea415c40eb3ad7944806561c80d76c1ae692cc"/>
    <w:p>
      <w:pPr>
        <w:pStyle w:val="Heading3"/>
      </w:pPr>
      <w:r>
        <w:t xml:space="preserve">3. Partnership with Melbourne University's Education Faculty</w:t>
      </w:r>
    </w:p>
    <w:p>
      <w:pPr>
        <w:pStyle w:val="FirstParagraph"/>
      </w:pPr>
      <w:r>
        <w:t xml:space="preserve">Exclusive collaboration with the University of Melbourne's Graduate School of Education has provided early access to high-performing teaching candidates. This pipeline generated 62% of our Q3 placements, including 15 Digital Technologies Specialists who directly address the Department of Education's 'Tech in Schools' initiative.</w:t>
      </w:r>
    </w:p>
    <w:bookmarkEnd w:id="25"/>
    <w:bookmarkEnd w:id="26"/>
    <w:bookmarkStart w:id="27" w:name="X43dad501e56048711059e568eb0b9c8e2d0e735"/>
    <w:p>
      <w:pPr>
        <w:pStyle w:val="Heading2"/>
      </w:pPr>
      <w:r>
        <w:t xml:space="preserve">Regional Performance Breakdown: Melbourne Suburbs</w:t>
      </w:r>
    </w:p>
    <w:p>
      <w:pPr>
        <w:pStyle w:val="FirstParagraph"/>
      </w:pPr>
      <w:r>
        <w:t xml:space="preserve">Placement distribution reveals critical regional patterns across Australia Melbourne:</w:t>
      </w:r>
    </w:p>
    <w:p>
      <w:pPr>
        <w:numPr>
          <w:ilvl w:val="0"/>
          <w:numId w:val="1001"/>
        </w:numPr>
        <w:pStyle w:val="Compact"/>
      </w:pPr>
      <w:r>
        <w:rPr>
          <w:bCs/>
          <w:b/>
        </w:rPr>
        <w:t xml:space="preserve">Eastern Metropolitan (Caulfield, Malvern):</w:t>
      </w:r>
      <w:r>
        <w:t xml:space="preserve"> </w:t>
      </w:r>
      <w:r>
        <w:t xml:space="preserve">38 placements (20% of total) focused on advanced VCE Mathematics and Business Studies to support high academic achievement targets.</w:t>
      </w:r>
    </w:p>
    <w:p>
      <w:pPr>
        <w:numPr>
          <w:ilvl w:val="0"/>
          <w:numId w:val="1001"/>
        </w:numPr>
        <w:pStyle w:val="Compact"/>
      </w:pPr>
      <w:r>
        <w:rPr>
          <w:bCs/>
          <w:b/>
        </w:rPr>
        <w:t xml:space="preserve">Western Suburbs (Footscray, Sunshine):</w:t>
      </w:r>
      <w:r>
        <w:t xml:space="preserve"> </w:t>
      </w:r>
      <w:r>
        <w:t xml:space="preserve">51 placements (+41% YoY), driven by multicultural student needs. 37% required English as an Additional Language (EAL) expertise – a key growth area for Teacher Secondary recruitment.</w:t>
      </w:r>
    </w:p>
    <w:p>
      <w:pPr>
        <w:numPr>
          <w:ilvl w:val="0"/>
          <w:numId w:val="1001"/>
        </w:numPr>
        <w:pStyle w:val="Compact"/>
      </w:pPr>
      <w:r>
        <w:rPr>
          <w:bCs/>
          <w:b/>
        </w:rPr>
        <w:t xml:space="preserve">Northern Growth Corridors (Broadmeadows, Craigieburn):</w:t>
      </w:r>
      <w:r>
        <w:t xml:space="preserve"> </w:t>
      </w:r>
      <w:r>
        <w:t xml:space="preserve">48 placements (+52% YoY), fueled by new school constructions under the 'Melbourne 2050 Plan' requiring immediate Secondary Teacher deployment.</w:t>
      </w:r>
    </w:p>
    <w:bookmarkEnd w:id="27"/>
    <w:bookmarkStart w:id="28" w:name="X4fd0227d4822e4cd2e637a7d82ac14c3d3ae001"/>
    <w:p>
      <w:pPr>
        <w:pStyle w:val="Heading2"/>
      </w:pPr>
      <w:r>
        <w:t xml:space="preserve">Challenges and Competitive Differentiation</w:t>
      </w:r>
    </w:p>
    <w:p>
      <w:pPr>
        <w:pStyle w:val="FirstParagraph"/>
      </w:pPr>
      <w:r>
        <w:t xml:space="preserve">Despite strong demand, we navigated Melbourne-specific challenges through innovation:</w:t>
      </w:r>
    </w:p>
    <w:p>
      <w:pPr>
        <w:pStyle w:val="BodyText"/>
      </w:pPr>
      <w:r>
        <w:rPr>
          <w:bCs/>
          <w:b/>
        </w:rPr>
        <w:t xml:space="preserve">Challenge: Shortage of Specialist STEM Teachers in Western Melbourne</w:t>
      </w:r>
      <w:r>
        <w:br/>
      </w:r>
      <w:r>
        <w:t xml:space="preserve">Our solution: Launched 'STEM Mobile Unit' – recruiting Teacher Secondary candidates who commit to 12 months in high-need zones. This initiative secured 31 placements (exceeding target by 87%) and reduced school vacancy durations from 4.8 to 1.2 weeks.</w:t>
      </w:r>
    </w:p>
    <w:p>
      <w:pPr>
        <w:pStyle w:val="BodyText"/>
      </w:pPr>
      <w:r>
        <w:rPr>
          <w:bCs/>
          <w:b/>
        </w:rPr>
        <w:t xml:space="preserve">Challenge: High Competition for Early-Career Teachers</w:t>
      </w:r>
      <w:r>
        <w:br/>
      </w:r>
      <w:r>
        <w:t xml:space="preserve">Our differentiator: Introduced Melbourne's first 'Pathway Partnership' program, offering accredited professional development credits through Monash University. This attracted 207 early-career Teacher Secondary candidates – a 200% increase in quality applicants.</w:t>
      </w:r>
    </w:p>
    <w:bookmarkEnd w:id="28"/>
    <w:bookmarkStart w:id="29" w:name="X2142df75d14a1a3302cfd8d54f229122667a351"/>
    <w:p>
      <w:pPr>
        <w:pStyle w:val="Heading2"/>
      </w:pPr>
      <w:r>
        <w:t xml:space="preserve">Future Outlook for Secondary Teacher Recruitment</w:t>
      </w:r>
    </w:p>
    <w:p>
      <w:pPr>
        <w:pStyle w:val="FirstParagraph"/>
      </w:pPr>
      <w:r>
        <w:t xml:space="preserve">Based on Victorian government projections and Melbourne's infrastructure boom, our Q4 sales forecast projects:</w:t>
      </w:r>
    </w:p>
    <w:p>
      <w:pPr>
        <w:numPr>
          <w:ilvl w:val="0"/>
          <w:numId w:val="1002"/>
        </w:numPr>
        <w:pStyle w:val="Compact"/>
      </w:pPr>
      <w:r>
        <w:rPr>
          <w:bCs/>
          <w:b/>
        </w:rPr>
        <w:t xml:space="preserve">15-20% further growth</w:t>
      </w:r>
      <w:r>
        <w:t xml:space="preserve"> </w:t>
      </w:r>
      <w:r>
        <w:t xml:space="preserve">in Teacher Secondary placements driven by the $780 million 'Schools of the Future' initiative.</w:t>
      </w:r>
    </w:p>
    <w:p>
      <w:pPr>
        <w:numPr>
          <w:ilvl w:val="0"/>
          <w:numId w:val="1002"/>
        </w:numPr>
        <w:pStyle w:val="Compact"/>
      </w:pPr>
      <w:r>
        <w:rPr>
          <w:bCs/>
          <w:b/>
        </w:rPr>
        <w:t xml:space="preserve">New priority areas:</w:t>
      </w:r>
      <w:r>
        <w:t xml:space="preserve"> </w:t>
      </w:r>
      <w:r>
        <w:t xml:space="preserve">Sustainability Education (responding to Melbourne's Climate Action Plan 2035) and Specialized Mental Health Support roles – requiring Teacher Secondary candidates with additional counseling credentials.</w:t>
      </w:r>
    </w:p>
    <w:p>
      <w:pPr>
        <w:numPr>
          <w:ilvl w:val="0"/>
          <w:numId w:val="1002"/>
        </w:numPr>
        <w:pStyle w:val="Compact"/>
      </w:pPr>
      <w:r>
        <w:rPr>
          <w:bCs/>
          <w:b/>
        </w:rPr>
        <w:t xml:space="preserve">Technology integration:</w:t>
      </w:r>
      <w:r>
        <w:t xml:space="preserve"> </w:t>
      </w:r>
      <w:r>
        <w:t xml:space="preserve">Launch of AI-powered 'Teacher Match' platform in October 2023, predicting school compatibility using historical placement data from all Melbourne districts.</w:t>
      </w:r>
    </w:p>
    <w:bookmarkEnd w:id="29"/>
    <w:bookmarkStart w:id="30" w:name="Xbe2feb82dcbce2bac6a867afc60ca442c72ae7d"/>
    <w:p>
      <w:pPr>
        <w:pStyle w:val="Heading2"/>
      </w:pPr>
      <w:r>
        <w:t xml:space="preserve">Conclusion: Strategic Positioning for Melbourne's Educational Future</w:t>
      </w:r>
    </w:p>
    <w:p>
      <w:pPr>
        <w:pStyle w:val="FirstParagraph"/>
      </w:pPr>
      <w:r>
        <w:t xml:space="preserve">This Sales Report unequivocally demonstrates our leadership in securing the right Teacher Secondary talent for Victoria's evolving education landscape. By embedding ourselves within Melbourne's unique socio-educational ecosystem – from refugee settlement schools in Sunshine to innovation hubs near RMIT University – we've transformed recruitment from transactional service into strategic educational partnership.</w:t>
      </w:r>
    </w:p>
    <w:p>
      <w:pPr>
        <w:pStyle w:val="BodyText"/>
      </w:pPr>
      <w:r>
        <w:t xml:space="preserve">Our 28% YoY growth isn't merely a sales metric; it represents thousands of students across Australia Melbourne now receiving quality education from qualified Secondary Teachers. As Victoria's population grows by 1.2 million people over the next decade, our ability to deliver this critical talent will define the future of secondary education in Melbourne and serve as a national benchmark for Teacher Secondary recruitment excellence.</w:t>
      </w:r>
    </w:p>
    <w:p>
      <w:pPr>
        <w:pStyle w:val="BodyText"/>
      </w:pPr>
      <w:r>
        <w:rPr>
          <w:bCs/>
          <w:b/>
        </w:rPr>
        <w:t xml:space="preserve">Prepared for:</w:t>
      </w:r>
      <w:r>
        <w:t xml:space="preserve"> </w:t>
      </w:r>
      <w:r>
        <w:t xml:space="preserve">Victorian Department of Education | Australian Institute for Teaching and School Leadership</w:t>
      </w:r>
      <w:r>
        <w:br/>
      </w:r>
      <w:r>
        <w:rPr>
          <w:bCs/>
          <w:b/>
        </w:rPr>
        <w:t xml:space="preserve">Date:</w:t>
      </w:r>
      <w:r>
        <w:t xml:space="preserve"> </w:t>
      </w:r>
      <w:r>
        <w:t xml:space="preserve">September 28,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Secondary Teacher Recruitment Sales Report - Melbourne Australia</dc:title>
  <dc:creator/>
  <dc:language>en</dc:language>
  <cp:keywords/>
  <dcterms:created xsi:type="dcterms:W3CDTF">2025-12-12T02:51:39Z</dcterms:created>
  <dcterms:modified xsi:type="dcterms:W3CDTF">2025-12-12T02:51:39Z</dcterms:modified>
</cp:coreProperties>
</file>

<file path=docProps/custom.xml><?xml version="1.0" encoding="utf-8"?>
<Properties xmlns="http://schemas.openxmlformats.org/officeDocument/2006/custom-properties" xmlns:vt="http://schemas.openxmlformats.org/officeDocument/2006/docPropsVTypes"/>
</file>