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Annual</w:t>
      </w:r>
      <w:r>
        <w:t xml:space="preserve"> </w:t>
      </w:r>
      <w:r>
        <w:t xml:space="preserve">Sales</w:t>
      </w:r>
      <w:r>
        <w:t xml:space="preserve"> </w:t>
      </w:r>
      <w:r>
        <w:t xml:space="preserve">Report:</w:t>
      </w:r>
      <w:r>
        <w:t xml:space="preserve"> </w:t>
      </w:r>
      <w:r>
        <w:t xml:space="preserve">Teacher</w:t>
      </w:r>
      <w:r>
        <w:t xml:space="preserve"> </w:t>
      </w:r>
      <w:r>
        <w:t xml:space="preserve">Secondary</w:t>
      </w:r>
      <w:r>
        <w:t xml:space="preserve"> </w:t>
      </w:r>
      <w:r>
        <w:t xml:space="preserve">Education</w:t>
      </w:r>
      <w:r>
        <w:t xml:space="preserve"> </w:t>
      </w:r>
      <w:r>
        <w:t xml:space="preserve">Market</w:t>
      </w:r>
      <w:r>
        <w:t xml:space="preserve"> </w:t>
      </w:r>
      <w:r>
        <w:t xml:space="preserve">-</w:t>
      </w:r>
      <w:r>
        <w:t xml:space="preserve"> </w:t>
      </w:r>
      <w:r>
        <w:t xml:space="preserve">Australia</w:t>
      </w:r>
      <w:r>
        <w:t xml:space="preserve"> </w:t>
      </w:r>
      <w:r>
        <w:t xml:space="preserve">Sydney</w:t>
      </w:r>
    </w:p>
    <w:bookmarkStart w:id="35" w:name="X05381f8e25b791e2307ae1cf6c37e814164d98e"/>
    <w:p>
      <w:pPr>
        <w:pStyle w:val="Heading1"/>
      </w:pPr>
      <w:r>
        <w:t xml:space="preserve">Annual Sales Report: Teacher Secondary Education Market in Australia Sydney (2023-2024)</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Educational Solutions Group Leadership</w:t>
      </w:r>
      <w:r>
        <w:br/>
      </w:r>
      <w:r>
        <w:rPr>
          <w:bCs/>
          <w:b/>
        </w:rPr>
        <w:t xml:space="preserve">Report Period:</w:t>
      </w:r>
      <w:r>
        <w:t xml:space="preserve"> </w:t>
      </w:r>
      <w:r>
        <w:t xml:space="preserve">January 1, 2023 - December 31, 2023</w:t>
      </w:r>
    </w:p>
    <w:bookmarkStart w:id="20" w:name="executive-summary"/>
    <w:p>
      <w:pPr>
        <w:pStyle w:val="Heading2"/>
      </w:pPr>
      <w:r>
        <w:t xml:space="preserve">Executive Summary</w:t>
      </w:r>
    </w:p>
    <w:p>
      <w:pPr>
        <w:pStyle w:val="FirstParagraph"/>
      </w:pPr>
      <w:r>
        <w:t xml:space="preserve">This comprehensive Sales Report details the performance of our educational solutions portfolio targeting Teacher Secondary educators across Australia Sydney. The reporting period witnessed a remarkable 18.7% year-on-year revenue growth, driven by strategic partnerships with Sydney's leading secondary schools and tailored pedagogical tools addressing critical curriculum demands. With over 240 schools in metropolitan Sydney alone actively engaging with our solutions, this document underscores how our Teacher Secondary focus has become central to market leadership in Australia's most dynamic educational landscape.</w:t>
      </w:r>
    </w:p>
    <w:bookmarkEnd w:id="20"/>
    <w:bookmarkStart w:id="22" w:name="Xe6e40a966a6d1666051df59cf5266668f96280e"/>
    <w:p>
      <w:pPr>
        <w:pStyle w:val="Heading2"/>
      </w:pPr>
      <w:r>
        <w:t xml:space="preserve">Market Context: Teacher Secondary Education Landscape in Australia Sydney</w:t>
      </w:r>
    </w:p>
    <w:p>
      <w:pPr>
        <w:pStyle w:val="FirstParagraph"/>
      </w:pPr>
      <w:r>
        <w:t xml:space="preserve">Sydney's secondary education sector represents a $1.4 billion annual market (ABS, 2023), characterized by stringent NESA accreditation requirements and escalating demands for digital literacy integration. Our analysis confirms that 78% of Sydney secondary teachers report needing specialized resources aligned with the new Digital Technologies curriculum and HSC preparation frameworks. This context makes our Teacher Secondary specialization uniquely positioned to address urgent sector needs, particularly in high-growth suburbs like Penrith, Parramatta, and North Shore where student enrollment has grown by 9.2% since 2021.</w:t>
      </w:r>
    </w:p>
    <w:bookmarkStart w:id="21" w:name="key-market-shifts-impacting-sales"/>
    <w:p>
      <w:pPr>
        <w:pStyle w:val="Heading3"/>
      </w:pPr>
      <w:r>
        <w:t xml:space="preserve">Key Market Shifts Impacting Sales</w:t>
      </w:r>
    </w:p>
    <w:p>
      <w:pPr>
        <w:numPr>
          <w:ilvl w:val="0"/>
          <w:numId w:val="1001"/>
        </w:numPr>
        <w:pStyle w:val="Compact"/>
      </w:pPr>
      <w:r>
        <w:rPr>
          <w:bCs/>
          <w:b/>
        </w:rPr>
        <w:t xml:space="preserve">Curriculum Overhaul:</w:t>
      </w:r>
      <w:r>
        <w:t xml:space="preserve"> </w:t>
      </w:r>
      <w:r>
        <w:t xml:space="preserve">NESA's recent Stage 6 syllabus revisions increased demand for subject-specific teaching resources by 45% in Sydney schools</w:t>
      </w:r>
    </w:p>
    <w:p>
      <w:pPr>
        <w:numPr>
          <w:ilvl w:val="0"/>
          <w:numId w:val="1001"/>
        </w:numPr>
        <w:pStyle w:val="Compact"/>
      </w:pPr>
      <w:r>
        <w:rPr>
          <w:bCs/>
          <w:b/>
        </w:rPr>
        <w:t xml:space="preserve">Digital Transformation:</w:t>
      </w:r>
      <w:r>
        <w:t xml:space="preserve"> </w:t>
      </w:r>
      <w:r>
        <w:t xml:space="preserve">89% of Sydney secondary schools now mandate LMS integration, creating opportunities for our cloud-based platform</w:t>
      </w:r>
    </w:p>
    <w:p>
      <w:pPr>
        <w:numPr>
          <w:ilvl w:val="0"/>
          <w:numId w:val="1001"/>
        </w:numPr>
        <w:pStyle w:val="Compact"/>
      </w:pPr>
      <w:r>
        <w:rPr>
          <w:bCs/>
          <w:b/>
        </w:rPr>
        <w:t xml:space="preserve">Teacher Retention Crisis:</w:t>
      </w:r>
      <w:r>
        <w:t xml:space="preserve"> </w:t>
      </w:r>
      <w:r>
        <w:t xml:space="preserve">With Sydney's teacher vacancy rate at 12.3% (DET NSW, 2023), educators increasingly seek time-saving solutions</w:t>
      </w:r>
    </w:p>
    <w:bookmarkEnd w:id="21"/>
    <w:bookmarkEnd w:id="22"/>
    <w:bookmarkStart w:id="24" w:name="Xc67e1a239a9a05a01aed5e589f0b02a70344594"/>
    <w:p>
      <w:pPr>
        <w:pStyle w:val="Heading2"/>
      </w:pPr>
      <w:r>
        <w:t xml:space="preserve">Sales Performance Overview: Australia Sydney Territory</w:t>
      </w:r>
    </w:p>
    <w:tbl>
      <w:tblPr>
        <w:tblStyle w:val="Table"/>
        <w:tblW w:type="auto" w:w="0"/>
        <w:tblLook w:firstRow="1" w:lastRow="0" w:firstColumn="0" w:lastColumn="0" w:noHBand="0" w:noVBand="0" w:val="0020"/>
      </w:tblPr>
      <w:tblGrid>
        <w:gridCol w:w="1980"/>
        <w:gridCol w:w="1980"/>
        <w:gridCol w:w="1980"/>
        <w:gridCol w:w="1980"/>
      </w:tblGrid>
      <w:tr>
        <w:trPr>
          <w:tblHeader w:val="true"/>
        </w:trPr>
        <w:tc>
          <w:tcPr/>
          <w:p>
            <w:pPr>
              <w:pStyle w:val="Compact"/>
              <w:jc w:val="left"/>
            </w:pPr>
            <w:r>
              <w:t xml:space="preserve">Key Metric</w:t>
            </w:r>
          </w:p>
        </w:tc>
        <w:tc>
          <w:tcPr/>
          <w:p>
            <w:pPr>
              <w:pStyle w:val="Compact"/>
              <w:jc w:val="left"/>
            </w:pPr>
            <w:r>
              <w:t xml:space="preserve">2023 Value</w:t>
            </w:r>
          </w:p>
        </w:tc>
        <w:tc>
          <w:tcPr/>
          <w:p>
            <w:pPr>
              <w:pStyle w:val="Compact"/>
              <w:jc w:val="left"/>
            </w:pPr>
            <w:r>
              <w:t xml:space="preserve">Y/Y Change</w:t>
            </w:r>
          </w:p>
        </w:tc>
        <w:tc>
          <w:tcPr/>
          <w:p>
            <w:pPr>
              <w:pStyle w:val="Compact"/>
              <w:jc w:val="left"/>
            </w:pPr>
            <w:r>
              <w:t xml:space="preserve">Market Share (Sydney)</w:t>
            </w:r>
          </w:p>
        </w:tc>
      </w:tr>
      <w:tr>
        <w:tc>
          <w:tcPr/>
          <w:p>
            <w:pPr>
              <w:pStyle w:val="Compact"/>
              <w:jc w:val="left"/>
            </w:pPr>
            <w:r>
              <w:t xml:space="preserve">Total Revenue (Secondary Teacher Solutions)</w:t>
            </w:r>
          </w:p>
        </w:tc>
        <w:tc>
          <w:tcPr/>
          <w:p>
            <w:pPr>
              <w:pStyle w:val="Compact"/>
              <w:jc w:val="left"/>
            </w:pPr>
            <w:r>
              <w:t xml:space="preserve">$1.87M</w:t>
            </w:r>
          </w:p>
        </w:tc>
        <w:tc>
          <w:tcPr/>
          <w:p>
            <w:pPr>
              <w:pStyle w:val="Compact"/>
              <w:jc w:val="left"/>
            </w:pPr>
            <w:r>
              <w:t xml:space="preserve">+18.7%</w:t>
            </w:r>
          </w:p>
        </w:tc>
        <w:tc>
          <w:tcPr/>
          <w:p>
            <w:pPr>
              <w:pStyle w:val="Compact"/>
              <w:jc w:val="left"/>
            </w:pPr>
            <w:r>
              <w:t xml:space="preserve">23.6%</w:t>
            </w:r>
          </w:p>
        </w:tc>
      </w:tr>
      <w:tr>
        <w:tc>
          <w:tcPr/>
          <w:p>
            <w:pPr>
              <w:pStyle w:val="Compact"/>
              <w:jc w:val="left"/>
            </w:pPr>
            <w:r>
              <w:t xml:space="preserve">Customer Acquisition Cost (CAC)</w:t>
            </w:r>
          </w:p>
        </w:tc>
        <w:tc>
          <w:tcPr/>
          <w:p>
            <w:pPr>
              <w:pStyle w:val="Compact"/>
              <w:jc w:val="left"/>
            </w:pPr>
            <w:r>
              <w:t xml:space="preserve">$4,200</w:t>
            </w:r>
          </w:p>
        </w:tc>
        <w:tc>
          <w:tcPr/>
          <w:p>
            <w:pPr>
              <w:pStyle w:val="Compact"/>
              <w:jc w:val="left"/>
            </w:pPr>
            <w:r>
              <w:t xml:space="preserve">-14.3%</w:t>
            </w:r>
          </w:p>
        </w:tc>
        <w:tc>
          <w:tcPr/>
          <w:p>
            <w:pPr>
              <w:pStyle w:val="Compact"/>
              <w:jc w:val="left"/>
            </w:pPr>
            <w:r>
              <w:t xml:space="preserve">N/A</w:t>
            </w:r>
          </w:p>
        </w:tc>
      </w:tr>
      <w:tr>
        <w:tc>
          <w:tcPr/>
          <w:p>
            <w:pPr>
              <w:pStyle w:val="Compact"/>
              <w:jc w:val="left"/>
            </w:pPr>
            <w:r>
              <w:t xml:space="preserve">Renewal Rate (Existing Sydney Schools)</w:t>
            </w:r>
          </w:p>
        </w:tc>
        <w:tc>
          <w:tcPr/>
          <w:p>
            <w:pPr>
              <w:pStyle w:val="Compact"/>
              <w:jc w:val="left"/>
            </w:pPr>
            <w:r>
              <w:t xml:space="preserve">92.1%</w:t>
            </w:r>
          </w:p>
        </w:tc>
        <w:tc>
          <w:tcPr/>
          <w:p>
            <w:pPr>
              <w:pStyle w:val="Compact"/>
              <w:jc w:val="left"/>
            </w:pPr>
            <w:r>
              <w:t xml:space="preserve">+8.7pp</w:t>
            </w:r>
          </w:p>
        </w:tc>
        <w:tc>
          <w:tcPr/>
          <w:p>
            <w:pPr>
              <w:pStyle w:val="Compact"/>
            </w:pPr>
          </w:p>
        </w:tc>
      </w:tr>
      <w:tr>
        <w:tc>
          <w:tcPr/>
          <w:p>
            <w:pPr>
              <w:pStyle w:val="Compact"/>
              <w:jc w:val="left"/>
            </w:pPr>
            <w:r>
              <w:t xml:space="preserve">New School Partnerships (Sydney)</w:t>
            </w:r>
          </w:p>
        </w:tc>
        <w:tc>
          <w:tcPr/>
          <w:p>
            <w:pPr>
              <w:pStyle w:val="Compact"/>
              <w:jc w:val="left"/>
            </w:pPr>
            <w:r>
              <w:t xml:space="preserve">47 schools</w:t>
            </w:r>
          </w:p>
        </w:tc>
        <w:tc>
          <w:tcPr/>
          <w:p>
            <w:pPr>
              <w:pStyle w:val="Compact"/>
              <w:jc w:val="left"/>
            </w:pPr>
            <w:r>
              <w:t xml:space="preserve">+22.5%</w:t>
            </w:r>
          </w:p>
        </w:tc>
        <w:tc>
          <w:tcPr/>
          <w:p>
            <w:pPr>
              <w:pStyle w:val="Compact"/>
            </w:pPr>
          </w:p>
        </w:tc>
      </w:tr>
    </w:tbl>
    <w:bookmarkStart w:id="23" w:name="geographic-sales-breakdown-sydney-metro"/>
    <w:p>
      <w:pPr>
        <w:pStyle w:val="Heading3"/>
      </w:pPr>
      <w:r>
        <w:t xml:space="preserve">Geographic Sales Breakdown: Sydney Metro</w:t>
      </w:r>
    </w:p>
    <w:p>
      <w:pPr>
        <w:pStyle w:val="FirstParagraph"/>
      </w:pPr>
      <w:r>
        <w:t xml:space="preserve">Our sales strategy prioritized high-need zones within Australia Sydney:</w:t>
      </w:r>
    </w:p>
    <w:p>
      <w:pPr>
        <w:numPr>
          <w:ilvl w:val="0"/>
          <w:numId w:val="1002"/>
        </w:numPr>
        <w:pStyle w:val="Compact"/>
      </w:pPr>
      <w:r>
        <w:rPr>
          <w:bCs/>
          <w:b/>
        </w:rPr>
        <w:t xml:space="preserve">Parramatta &amp; Western Sydney:</w:t>
      </w:r>
      <w:r>
        <w:t xml:space="preserve"> </w:t>
      </w:r>
      <w:r>
        <w:t xml:space="preserve">34% of total revenue ($635K) - driven by multicultural school networks</w:t>
      </w:r>
    </w:p>
    <w:p>
      <w:pPr>
        <w:numPr>
          <w:ilvl w:val="0"/>
          <w:numId w:val="1002"/>
        </w:numPr>
        <w:pStyle w:val="Compact"/>
      </w:pPr>
      <w:r>
        <w:rPr>
          <w:bCs/>
          <w:b/>
        </w:rPr>
        <w:t xml:space="preserve">Eastern Suburbs (Sydney CBD to Manly):</w:t>
      </w:r>
      <w:r>
        <w:t xml:space="preserve"> </w:t>
      </w:r>
      <w:r>
        <w:t xml:space="preserve">28% ($524K) - premium private school adoption</w:t>
      </w:r>
    </w:p>
    <w:p>
      <w:pPr>
        <w:numPr>
          <w:ilvl w:val="0"/>
          <w:numId w:val="1002"/>
        </w:numPr>
        <w:pStyle w:val="Compact"/>
      </w:pPr>
      <w:r>
        <w:rPr>
          <w:bCs/>
          <w:b/>
        </w:rPr>
        <w:t xml:space="preserve">Northern Sydney (Chatswood, Ryde):</w:t>
      </w:r>
      <w:r>
        <w:t xml:space="preserve"> </w:t>
      </w:r>
      <w:r>
        <w:t xml:space="preserve">21% ($393K) - growth in STEM-focused secondary schools</w:t>
      </w:r>
    </w:p>
    <w:p>
      <w:pPr>
        <w:numPr>
          <w:ilvl w:val="0"/>
          <w:numId w:val="1002"/>
        </w:numPr>
        <w:pStyle w:val="Compact"/>
      </w:pPr>
      <w:r>
        <w:rPr>
          <w:bCs/>
          <w:b/>
        </w:rPr>
        <w:t xml:space="preserve">South Coast Expansion:</w:t>
      </w:r>
      <w:r>
        <w:t xml:space="preserve"> </w:t>
      </w:r>
      <w:r>
        <w:t xml:space="preserve">17% ($319K) - new territory for Teacher Secondary solutions</w:t>
      </w:r>
    </w:p>
    <w:bookmarkEnd w:id="23"/>
    <w:bookmarkEnd w:id="24"/>
    <w:bookmarkStart w:id="28" w:name="X5abf2e10a83394dba3f6067cc2908ff49f984d1"/>
    <w:p>
      <w:pPr>
        <w:pStyle w:val="Heading2"/>
      </w:pPr>
      <w:r>
        <w:t xml:space="preserve">Top Performing Products for Teacher Secondary Educators</w:t>
      </w:r>
    </w:p>
    <w:bookmarkStart w:id="25" w:name="X75793e642db722746f40c3d377fd437f714918a"/>
    <w:p>
      <w:pPr>
        <w:pStyle w:val="Heading3"/>
      </w:pPr>
      <w:r>
        <w:t xml:space="preserve">1. NESA-Compliant Digital Resource Kits (40% of revenue)</w:t>
      </w:r>
    </w:p>
    <w:p>
      <w:pPr>
        <w:pStyle w:val="FirstParagraph"/>
      </w:pPr>
      <w:r>
        <w:t xml:space="preserve">These subject-specific toolkits (Science, English, Mathematics) with embedded HSC exam analytics became our flagship offering. Sydney schools purchased 87% more kits in 2023 compared to 2022, particularly in high-performing schools like James Ruse Agricultural High and Sydney Girls High. The "Sydney Teacher's Dashboard" feature—allowing educators to track student progress against NESA benchmarks—was cited by 94% of users as their most valuable resource.</w:t>
      </w:r>
    </w:p>
    <w:bookmarkEnd w:id="25"/>
    <w:bookmarkStart w:id="26" w:name="Xcb2f923d0a81f24457646df662d6410d4251082"/>
    <w:p>
      <w:pPr>
        <w:pStyle w:val="Heading3"/>
      </w:pPr>
      <w:r>
        <w:t xml:space="preserve">2. Professional Learning Workshops (28% of revenue)</w:t>
      </w:r>
    </w:p>
    <w:p>
      <w:pPr>
        <w:pStyle w:val="FirstParagraph"/>
      </w:pPr>
      <w:r>
        <w:t xml:space="preserve">Our "Teacher Secondary Resilience Program" saw unprecedented uptake after the DET NSW pilot in August 2023. These targeted workshops (15+ sessions across Sydney) covered curriculum delivery, wellbeing integration, and digital pedagogy—directly addressing the 67% of Sydney teachers reporting burnout risks. The program's success led to a 300% increase in school-wide workshop adoption.</w:t>
      </w:r>
    </w:p>
    <w:bookmarkEnd w:id="26"/>
    <w:bookmarkStart w:id="27" w:name="Xd287150fe3ed80df2792509353fadc02f184cad"/>
    <w:p>
      <w:pPr>
        <w:pStyle w:val="Heading3"/>
      </w:pPr>
      <w:r>
        <w:t xml:space="preserve">3. Custom LMS Integration Packages (22% of revenue)</w:t>
      </w:r>
    </w:p>
    <w:p>
      <w:pPr>
        <w:pStyle w:val="FirstParagraph"/>
      </w:pPr>
      <w:r>
        <w:t xml:space="preserve">Sydney schools increasingly require seamless integration with existing platforms (Canvas, Google Classroom). Our "Sydney Secondary Connect" package reduced implementation time by 65% and became standard in all new contracts. The partnership with Sydney Catholic Education Office secured $480K in enterprise contracts.</w:t>
      </w:r>
    </w:p>
    <w:bookmarkEnd w:id="27"/>
    <w:bookmarkEnd w:id="28"/>
    <w:bookmarkStart w:id="31" w:name="challenges-strategic-opportunities"/>
    <w:p>
      <w:pPr>
        <w:pStyle w:val="Heading2"/>
      </w:pPr>
      <w:r>
        <w:t xml:space="preserve">Challenges &amp; Strategic Opportunities</w:t>
      </w:r>
    </w:p>
    <w:bookmarkStart w:id="29" w:name="key-challenges-identified"/>
    <w:p>
      <w:pPr>
        <w:pStyle w:val="Heading3"/>
      </w:pPr>
      <w:r>
        <w:t xml:space="preserve">Key Challenges Identified</w:t>
      </w:r>
    </w:p>
    <w:p>
      <w:pPr>
        <w:numPr>
          <w:ilvl w:val="0"/>
          <w:numId w:val="1003"/>
        </w:numPr>
        <w:pStyle w:val="Compact"/>
      </w:pPr>
      <w:r>
        <w:rPr>
          <w:bCs/>
          <w:b/>
        </w:rPr>
        <w:t xml:space="preserve">Competitive Pressure:</w:t>
      </w:r>
      <w:r>
        <w:t xml:space="preserve"> </w:t>
      </w:r>
      <w:r>
        <w:t xml:space="preserve">Two major competitors entered the Sydney Teacher Secondary market, targeting budget-conscious public schools</w:t>
      </w:r>
    </w:p>
    <w:p>
      <w:pPr>
        <w:numPr>
          <w:ilvl w:val="0"/>
          <w:numId w:val="1003"/>
        </w:numPr>
        <w:pStyle w:val="Compact"/>
      </w:pPr>
      <w:r>
        <w:rPr>
          <w:bCs/>
          <w:b/>
        </w:rPr>
        <w:t xml:space="preserve">Curriculum Fragmentation:</w:t>
      </w:r>
      <w:r>
        <w:t xml:space="preserve"> </w:t>
      </w:r>
      <w:r>
        <w:t xml:space="preserve">Divergent implementation timelines across Sydney school clusters complicated sales cycles</w:t>
      </w:r>
    </w:p>
    <w:p>
      <w:pPr>
        <w:numPr>
          <w:ilvl w:val="0"/>
          <w:numId w:val="1003"/>
        </w:numPr>
        <w:pStyle w:val="Compact"/>
      </w:pPr>
      <w:r>
        <w:rPr>
          <w:bCs/>
          <w:b/>
        </w:rPr>
        <w:t xml:space="preserve">Digital Inequity:</w:t>
      </w:r>
      <w:r>
        <w:t xml:space="preserve"> </w:t>
      </w:r>
      <w:r>
        <w:t xml:space="preserve">19% of Sydney government schools lack sufficient devices for full platform adoption</w:t>
      </w:r>
    </w:p>
    <w:bookmarkEnd w:id="29"/>
    <w:bookmarkStart w:id="30" w:name="X70abe8148a71ea469dba550bda105e4aad68068"/>
    <w:p>
      <w:pPr>
        <w:pStyle w:val="Heading3"/>
      </w:pPr>
      <w:r>
        <w:t xml:space="preserve">Emerging Opportunities in Australia Sydney</w:t>
      </w:r>
    </w:p>
    <w:p>
      <w:pPr>
        <w:numPr>
          <w:ilvl w:val="0"/>
          <w:numId w:val="1004"/>
        </w:numPr>
        <w:pStyle w:val="Compact"/>
      </w:pPr>
      <w:r>
        <w:rPr>
          <w:bCs/>
          <w:b/>
        </w:rPr>
        <w:t xml:space="preserve">National Curriculum Alignment:</w:t>
      </w:r>
      <w:r>
        <w:t xml:space="preserve"> </w:t>
      </w:r>
      <w:r>
        <w:t xml:space="preserve">Partnering with NSW Education Standards Authority to co-develop resources for Year 10-12 transition programs</w:t>
      </w:r>
    </w:p>
    <w:p>
      <w:pPr>
        <w:numPr>
          <w:ilvl w:val="0"/>
          <w:numId w:val="1004"/>
        </w:numPr>
        <w:pStyle w:val="Compact"/>
      </w:pPr>
      <w:r>
        <w:rPr>
          <w:bCs/>
          <w:b/>
        </w:rPr>
        <w:t xml:space="preserve">Wellbeing Integration:</w:t>
      </w:r>
      <w:r>
        <w:t xml:space="preserve"> </w:t>
      </w:r>
      <w:r>
        <w:t xml:space="preserve">Developing mental health toolkits addressing Sydney-specific youth challenges (e.g., urban anxiety, academic pressure)</w:t>
      </w:r>
    </w:p>
    <w:p>
      <w:pPr>
        <w:numPr>
          <w:ilvl w:val="0"/>
          <w:numId w:val="1004"/>
        </w:numPr>
        <w:pStyle w:val="Compact"/>
      </w:pPr>
      <w:r>
        <w:rPr>
          <w:bCs/>
          <w:b/>
        </w:rPr>
        <w:t xml:space="preserve">School Network Expansion:</w:t>
      </w:r>
      <w:r>
        <w:t xml:space="preserve"> </w:t>
      </w:r>
      <w:r>
        <w:t xml:space="preserve">Targeting the 42 new government schools opening in Western Sydney by 2025</w:t>
      </w:r>
    </w:p>
    <w:bookmarkEnd w:id="30"/>
    <w:bookmarkEnd w:id="31"/>
    <w:bookmarkStart w:id="32" w:name="strategic-recommendations-for-2024"/>
    <w:p>
      <w:pPr>
        <w:pStyle w:val="Heading2"/>
      </w:pPr>
      <w:r>
        <w:t xml:space="preserve">Strategic Recommendations for 2024</w:t>
      </w:r>
    </w:p>
    <w:p>
      <w:pPr>
        <w:pStyle w:val="FirstParagraph"/>
      </w:pPr>
      <w:r>
        <w:t xml:space="preserve">Based on this Sales Report analysis, we recommend:</w:t>
      </w:r>
    </w:p>
    <w:p>
      <w:pPr>
        <w:numPr>
          <w:ilvl w:val="0"/>
          <w:numId w:val="1005"/>
        </w:numPr>
        <w:pStyle w:val="Compact"/>
      </w:pPr>
      <w:r>
        <w:rPr>
          <w:bCs/>
          <w:b/>
        </w:rPr>
        <w:t xml:space="preserve">Launch "Sydney Secondary Digital Hub":</w:t>
      </w:r>
      <w:r>
        <w:t xml:space="preserve"> </w:t>
      </w:r>
      <w:r>
        <w:t xml:space="preserve">A centralized platform offering all resources with localized content (e.g., bushfire resilience modules for Western Sydney schools). Projected to capture 35% market share by 2025.</w:t>
      </w:r>
    </w:p>
    <w:p>
      <w:pPr>
        <w:numPr>
          <w:ilvl w:val="0"/>
          <w:numId w:val="1005"/>
        </w:numPr>
        <w:pStyle w:val="Compact"/>
      </w:pPr>
      <w:r>
        <w:rPr>
          <w:bCs/>
          <w:b/>
        </w:rPr>
        <w:t xml:space="preserve">Expand Teacher Ambassador Program:</w:t>
      </w:r>
      <w:r>
        <w:t xml:space="preserve"> </w:t>
      </w:r>
      <w:r>
        <w:t xml:space="preserve">Recruit 15+ influential Sydney secondary educators as brand advocates. Early trials showed a 40% higher conversion rate in teacher-led referrals.</w:t>
      </w:r>
    </w:p>
    <w:p>
      <w:pPr>
        <w:numPr>
          <w:ilvl w:val="0"/>
          <w:numId w:val="1005"/>
        </w:numPr>
        <w:pStyle w:val="Compact"/>
      </w:pPr>
      <w:r>
        <w:rPr>
          <w:bCs/>
          <w:b/>
        </w:rPr>
        <w:t xml:space="preserve">National Partnerships:</w:t>
      </w:r>
      <w:r>
        <w:t xml:space="preserve"> </w:t>
      </w:r>
      <w:r>
        <w:t xml:space="preserve">Develop a scalable model replicable across Australia by leveraging Sydney's market leadership, targeting Queensland and Victoria schools with similar NESA-equivalent frameworks.</w:t>
      </w:r>
    </w:p>
    <w:bookmarkEnd w:id="32"/>
    <w:bookmarkStart w:id="34" w:name="conclusion"/>
    <w:p>
      <w:pPr>
        <w:pStyle w:val="Heading2"/>
      </w:pPr>
      <w:r>
        <w:t xml:space="preserve">Conclusion</w:t>
      </w:r>
    </w:p>
    <w:p>
      <w:pPr>
        <w:pStyle w:val="FirstParagraph"/>
      </w:pPr>
      <w:r>
        <w:t xml:space="preserve">This Sales Report confirms that our Teacher Secondary specialization is not only thriving in Australia Sydney but driving category leadership. The 18.7% revenue growth demonstrates that educators across Sydney's diverse educational landscape recognize the value of solutions designed specifically for secondary teaching challenges. As we move into 2024, the strategic focus on NESA-aligned resources, teacher wellbeing integration, and digital infrastructure partnerships will cement our position as Australia's premier provider of Teacher Secondary solutions. With Sydney serving as our flagship market and proving ground, every success here directly informs our national expansion strategy across Australia.</w:t>
      </w:r>
    </w:p>
    <w:p>
      <w:pPr>
        <w:pStyle w:val="BodyText"/>
      </w:pPr>
      <w:r>
        <w:t xml:space="preserve">The future of education in Australia Sydney belongs to those who understand the unique pressures facing secondary teachers—and this report proves we are delivering exactly that solution at scale.</w:t>
      </w:r>
    </w:p>
    <w:bookmarkStart w:id="33" w:name="Xf1a630b382316d8552c7efe11249f5c1ca5f433"/>
    <w:p>
      <w:pPr>
        <w:pStyle w:val="Heading3"/>
      </w:pPr>
      <w:r>
        <w:t xml:space="preserve">Appendix: Sydney Secondary Market Snapshot</w:t>
      </w:r>
    </w:p>
    <w:p>
      <w:pPr>
        <w:numPr>
          <w:ilvl w:val="0"/>
          <w:numId w:val="1006"/>
        </w:numPr>
        <w:pStyle w:val="Compact"/>
      </w:pPr>
      <w:r>
        <w:t xml:space="preserve">Number of Secondary Schools (NSW Dept. Education): 842</w:t>
      </w:r>
    </w:p>
    <w:p>
      <w:pPr>
        <w:numPr>
          <w:ilvl w:val="0"/>
          <w:numId w:val="1006"/>
        </w:numPr>
        <w:pStyle w:val="Compact"/>
      </w:pPr>
      <w:r>
        <w:t xml:space="preserve">Teacher Shortage Impact (Sydney): 1 in 5 HSC subjects impacted by temporary staffing</w:t>
      </w:r>
    </w:p>
    <w:p>
      <w:pPr>
        <w:numPr>
          <w:ilvl w:val="0"/>
          <w:numId w:val="1006"/>
        </w:numPr>
        <w:pStyle w:val="Compact"/>
      </w:pPr>
      <w:r>
        <w:t xml:space="preserve">Key Growth Drivers: NESA Digital Technologies, HSC Band 6 Preparation, Inclusive Education Initiatives</w:t>
      </w:r>
    </w:p>
    <w:p>
      <w:pPr>
        <w:pStyle w:val="FirstParagraph"/>
      </w:pPr>
      <w:r>
        <w:rPr>
          <w:iCs/>
          <w:i/>
        </w:rPr>
        <w:t xml:space="preserve">This Sales Report was compiled using data from Sydney schools (2023), NSW Department of Education statistics, and teacher feedback surveys. All figures are proprietary to Educational Solutions Group.</w:t>
      </w:r>
    </w:p>
    <w:bookmarkEnd w:id="33"/>
    <w:bookmarkEnd w:id="34"/>
    <w:bookmarkEnd w:id="3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Annual Sales Report: Teacher Secondary Education Market - Australia Sydney</dc:title>
  <dc:creator/>
  <dc:language>en</dc:language>
  <cp:keywords/>
  <dcterms:created xsi:type="dcterms:W3CDTF">2025-12-11T17:05:40Z</dcterms:created>
  <dcterms:modified xsi:type="dcterms:W3CDTF">2025-12-11T17:05:40Z</dcterms:modified>
</cp:coreProperties>
</file>

<file path=docProps/custom.xml><?xml version="1.0" encoding="utf-8"?>
<Properties xmlns="http://schemas.openxmlformats.org/officeDocument/2006/custom-properties" xmlns:vt="http://schemas.openxmlformats.org/officeDocument/2006/docPropsVTypes"/>
</file>