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w:t>
      </w:r>
      <w:r>
        <w:t xml:space="preserve"> </w:t>
      </w:r>
      <w:r>
        <w:t xml:space="preserve">Bangladesh</w:t>
      </w:r>
      <w:r>
        <w:t xml:space="preserve"> </w:t>
      </w:r>
      <w:r>
        <w:t xml:space="preserve">Dhaka</w:t>
      </w:r>
    </w:p>
    <w:bookmarkStart w:id="32" w:name="Xb3185a95b9fbf489d7a6d33356ed78eda18e200"/>
    <w:p>
      <w:pPr>
        <w:pStyle w:val="Heading1"/>
      </w:pPr>
      <w:r>
        <w:t xml:space="preserve">TEACHER SECONDARY SALES REPORT - DHAKA REGION, BANGLADESH</w:t>
      </w:r>
    </w:p>
    <w:bookmarkStart w:id="20" w:name="executive-summary"/>
    <w:p>
      <w:pPr>
        <w:pStyle w:val="Heading2"/>
      </w:pPr>
      <w:r>
        <w:t xml:space="preserve">Executive Summary</w:t>
      </w:r>
    </w:p>
    <w:p>
      <w:pPr>
        <w:pStyle w:val="FirstParagraph"/>
      </w:pPr>
      <w:r>
        <w:t xml:space="preserve">This comprehensive Sales Report details the performance of Teacher Secondary, a leading educational solutions provider, across Dhaka, Bangladesh during the Q3 2023 quarter (July-September). Operating in one of South Asia's most dynamic educational markets, Teacher Secondary has demonstrated robust growth despite regional economic challenges. The company achieved a 18.7% year-over-year sales increase in Dhaka, capturing a significant market share in secondary education supplies and teacher development programs. This report analyzes sales drivers, regional performance metrics, strategic initiatives implemented specifically for the Bangladesh Dhaka ecosystem, and forward-looking recommendations to sustain momentum.</w:t>
      </w:r>
    </w:p>
    <w:p>
      <w:pPr>
        <w:pStyle w:val="BodyText"/>
      </w:pPr>
      <w:r>
        <w:rPr>
          <w:bCs/>
          <w:b/>
        </w:rPr>
        <w:t xml:space="preserve">Key Achievement:</w:t>
      </w:r>
      <w:r>
        <w:t xml:space="preserve"> </w:t>
      </w:r>
      <w:r>
        <w:t xml:space="preserve">Teacher Secondary surpassed its Dhaka sales target by 12.3% (BDT 48.7M vs. Target BDT 43.4M), driven by strategic partnerships with Dhaka's educational institutions and adaptive product offerings tailored for Bangladesh's secondary curriculum.</w:t>
      </w:r>
    </w:p>
    <w:bookmarkEnd w:id="20"/>
    <w:bookmarkStart w:id="21" w:name="X0285a2aaee5bf52a4fbb8a2ee4c59d095018244"/>
    <w:p>
      <w:pPr>
        <w:pStyle w:val="Heading2"/>
      </w:pPr>
      <w:r>
        <w:t xml:space="preserve">Market Context: Teacher Secondary in Bangladesh Dhaka</w:t>
      </w:r>
    </w:p>
    <w:p>
      <w:pPr>
        <w:pStyle w:val="FirstParagraph"/>
      </w:pPr>
      <w:r>
        <w:t xml:space="preserve">As the premier provider of secondary education solutions in Bangladesh Dhaka, Teacher Secondary operates within a highly competitive landscape serving over 1,800 schools across the city. Our success is intrinsically linked to understanding the unique educational framework governed by Bangladesh's Ministry of Education and the National Curriculum Framework for Grades 6-10. The Dhaka market presents distinct opportunities: with over 35% of national secondary enrollment concentrated in Dhaka division, coupled with rising demand for digital learning tools post-pandemic. Teacher Secondary has established itself as a trusted partner by aligning products with Bangladesh's</w:t>
      </w:r>
      <w:r>
        <w:t xml:space="preserve"> </w:t>
      </w:r>
      <w:r>
        <w:rPr>
          <w:iCs/>
          <w:i/>
        </w:rPr>
        <w:t xml:space="preserve">Secondary School Certificate (SSC)</w:t>
      </w:r>
      <w:r>
        <w:t xml:space="preserve"> </w:t>
      </w:r>
      <w:r>
        <w:t xml:space="preserve">curriculum requirements and addressing local challenges like resource scarcity and teacher capacity gaps.</w:t>
      </w:r>
    </w:p>
    <w:bookmarkEnd w:id="21"/>
    <w:bookmarkStart w:id="24" w:name="sales-performance-analysis"/>
    <w:p>
      <w:pPr>
        <w:pStyle w:val="Heading2"/>
      </w:pPr>
      <w:r>
        <w:t xml:space="preserve">Sales Performance Analysis</w:t>
      </w:r>
    </w:p>
    <w:bookmarkStart w:id="22" w:name="quarterly-sales-breakdown-q3-2023"/>
    <w:p>
      <w:pPr>
        <w:pStyle w:val="Heading3"/>
      </w:pPr>
      <w:r>
        <w:t xml:space="preserve">Quarterly Sales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Revenue (BDT)</w:t>
            </w:r>
          </w:p>
        </w:tc>
        <w:tc>
          <w:tcPr/>
          <w:p>
            <w:pPr>
              <w:pStyle w:val="Compact"/>
              <w:jc w:val="left"/>
            </w:pPr>
            <w:r>
              <w:t xml:space="preserve">% of Total</w:t>
            </w:r>
          </w:p>
        </w:tc>
        <w:tc>
          <w:tcPr/>
          <w:p>
            <w:pPr>
              <w:pStyle w:val="Compact"/>
              <w:jc w:val="left"/>
            </w:pPr>
            <w:r>
              <w:t xml:space="preserve">YoY Change</w:t>
            </w:r>
          </w:p>
        </w:tc>
      </w:tr>
      <w:tr>
        <w:tc>
          <w:tcPr/>
          <w:p>
            <w:pPr>
              <w:pStyle w:val="Compact"/>
              <w:jc w:val="left"/>
            </w:pPr>
            <w:r>
              <w:t xml:space="preserve">Digital Learning Platforms (SSC Curriculum-aligned)</w:t>
            </w:r>
          </w:p>
        </w:tc>
        <w:tc>
          <w:tcPr/>
          <w:p>
            <w:pPr>
              <w:pStyle w:val="Compact"/>
              <w:jc w:val="left"/>
            </w:pPr>
            <w:r>
              <w:t xml:space="preserve">21,500,000</w:t>
            </w:r>
          </w:p>
        </w:tc>
        <w:tc>
          <w:tcPr/>
          <w:p>
            <w:pPr>
              <w:pStyle w:val="Compact"/>
              <w:jc w:val="left"/>
            </w:pPr>
            <w:r>
              <w:t xml:space="preserve">44.2%</w:t>
            </w:r>
          </w:p>
        </w:tc>
        <w:tc>
          <w:tcPr/>
          <w:p>
            <w:pPr>
              <w:pStyle w:val="Compact"/>
              <w:jc w:val="left"/>
            </w:pPr>
            <w:r>
              <w:t xml:space="preserve">+31.8%</w:t>
            </w:r>
          </w:p>
        </w:tc>
      </w:tr>
      <w:tr>
        <w:tc>
          <w:tcPr/>
          <w:p>
            <w:pPr>
              <w:pStyle w:val="Compact"/>
              <w:jc w:val="left"/>
            </w:pPr>
            <w:r>
              <w:t xml:space="preserve">Teacher Training Workshops (Dhaka-focused)</w:t>
            </w:r>
          </w:p>
        </w:tc>
        <w:tc>
          <w:tcPr/>
          <w:p>
            <w:pPr>
              <w:pStyle w:val="Compact"/>
              <w:jc w:val="left"/>
            </w:pPr>
            <w:r>
              <w:t xml:space="preserve">16,350,000</w:t>
            </w:r>
          </w:p>
        </w:tc>
        <w:tc>
          <w:tcPr/>
          <w:p>
            <w:pPr>
              <w:pStyle w:val="Compact"/>
              <w:jc w:val="left"/>
            </w:pPr>
            <w:r>
              <w:t xml:space="preserve">33.6%</w:t>
            </w:r>
          </w:p>
        </w:tc>
        <w:tc>
          <w:tcPr/>
          <w:p>
            <w:pPr>
              <w:pStyle w:val="Compact"/>
              <w:jc w:val="left"/>
            </w:pPr>
            <w:r>
              <w:t xml:space="preserve">+22.4%</w:t>
            </w:r>
          </w:p>
        </w:tc>
      </w:tr>
      <w:tr>
        <w:tc>
          <w:tcPr/>
          <w:p>
            <w:pPr>
              <w:pStyle w:val="Compact"/>
              <w:jc w:val="left"/>
            </w:pPr>
            <w:r>
              <w:t xml:space="preserve">Printed Educational Materials (Textbooks, Workbooks)</w:t>
            </w:r>
          </w:p>
        </w:tc>
        <w:tc>
          <w:tcPr/>
          <w:p>
            <w:pPr>
              <w:pStyle w:val="Compact"/>
              <w:jc w:val="left"/>
            </w:pPr>
            <w:r>
              <w:t xml:space="preserve">8,750,000</w:t>
            </w:r>
          </w:p>
        </w:tc>
        <w:tc>
          <w:tcPr/>
          <w:p>
            <w:pPr>
              <w:pStyle w:val="Compact"/>
              <w:jc w:val="left"/>
            </w:pPr>
            <w:r>
              <w:t xml:space="preserve">18.0%</w:t>
            </w:r>
          </w:p>
        </w:tc>
        <w:tc>
          <w:tcPr/>
          <w:p>
            <w:pPr>
              <w:pStyle w:val="Compact"/>
              <w:jc w:val="left"/>
            </w:pPr>
            <w:r>
              <w:t xml:space="preserve">-5.1%*</w:t>
            </w:r>
          </w:p>
        </w:tc>
      </w:tr>
      <w:tr>
        <w:tc>
          <w:tcPr/>
          <w:p>
            <w:pPr>
              <w:pStyle w:val="Compact"/>
              <w:jc w:val="left"/>
            </w:pPr>
            <w:r>
              <w:rPr>
                <w:bCs/>
                <w:b/>
              </w:rPr>
              <w:t xml:space="preserve">Total</w:t>
            </w:r>
          </w:p>
        </w:tc>
        <w:tc>
          <w:tcPr/>
          <w:p>
            <w:pPr>
              <w:pStyle w:val="Compact"/>
              <w:jc w:val="left"/>
            </w:pPr>
            <w:r>
              <w:rPr>
                <w:bCs/>
                <w:b/>
              </w:rPr>
              <w:t xml:space="preserve">46,600,000</w:t>
            </w:r>
          </w:p>
        </w:tc>
        <w:tc>
          <w:tcPr/>
          <w:p>
            <w:pPr>
              <w:pStyle w:val="Compact"/>
              <w:jc w:val="left"/>
            </w:pPr>
            <w:r>
              <w:rPr>
                <w:bCs/>
                <w:b/>
              </w:rPr>
              <w:t xml:space="preserve">100%</w:t>
            </w:r>
          </w:p>
        </w:tc>
        <w:tc>
          <w:tcPr/>
          <w:p>
            <w:pPr>
              <w:pStyle w:val="Compact"/>
              <w:jc w:val="left"/>
            </w:pPr>
            <w:r>
              <w:rPr>
                <w:bCs/>
                <w:b/>
              </w:rPr>
              <w:t xml:space="preserve">+18.7%</w:t>
            </w:r>
          </w:p>
        </w:tc>
      </w:tr>
    </w:tbl>
    <w:p>
      <w:pPr>
        <w:pStyle w:val="BodyText"/>
      </w:pPr>
      <w:r>
        <w:t xml:space="preserve">*Decline attributed to increased adoption of digital solutions; offset by growth in other categories.</w:t>
      </w:r>
    </w:p>
    <w:bookmarkEnd w:id="22"/>
    <w:bookmarkStart w:id="23" w:name="dhaka-regional-market-share"/>
    <w:p>
      <w:pPr>
        <w:pStyle w:val="Heading3"/>
      </w:pPr>
      <w:r>
        <w:t xml:space="preserve">Dhaka Regional Market Share</w:t>
      </w:r>
    </w:p>
    <w:p>
      <w:pPr>
        <w:pStyle w:val="FirstParagraph"/>
      </w:pPr>
      <w:r>
        <w:t xml:space="preserve">Teacher Secondary achieved 28.4% market share in the Dhaka secondary education supply segment, up from 24.1% in Q2 2023. This growth stems from our strategic focus on:</w:t>
      </w:r>
    </w:p>
    <w:p>
      <w:pPr>
        <w:numPr>
          <w:ilvl w:val="0"/>
          <w:numId w:val="1001"/>
        </w:numPr>
        <w:pStyle w:val="Compact"/>
      </w:pPr>
      <w:r>
        <w:t xml:space="preserve">Partnerships with Dhaka's Directorate of Secondary and Higher Education (DSHE) for subsidized digital access</w:t>
      </w:r>
    </w:p>
    <w:p>
      <w:pPr>
        <w:numPr>
          <w:ilvl w:val="0"/>
          <w:numId w:val="1001"/>
        </w:numPr>
        <w:pStyle w:val="Compact"/>
      </w:pPr>
      <w:r>
        <w:t xml:space="preserve">Localized content development in Bengali for SSC subjects (Math, Science, English)</w:t>
      </w:r>
    </w:p>
    <w:p>
      <w:pPr>
        <w:numPr>
          <w:ilvl w:val="0"/>
          <w:numId w:val="1001"/>
        </w:numPr>
        <w:pStyle w:val="Compact"/>
      </w:pPr>
      <w:r>
        <w:t xml:space="preserve">On-ground agent network across 12 Dhaka districts including Mirpur, Sylhet Road, and Motijheel</w:t>
      </w:r>
    </w:p>
    <w:bookmarkEnd w:id="23"/>
    <w:bookmarkEnd w:id="24"/>
    <w:bookmarkStart w:id="28" w:name="Xd8ae7074f71dedecb6c8bbab3e23c119d34e13a"/>
    <w:p>
      <w:pPr>
        <w:pStyle w:val="Heading2"/>
      </w:pPr>
      <w:r>
        <w:t xml:space="preserve">Strategic Initiatives Driving Success in Bangladesh Dhaka</w:t>
      </w:r>
    </w:p>
    <w:bookmarkStart w:id="25" w:name="curriculum-aligned-digital-solutions"/>
    <w:p>
      <w:pPr>
        <w:pStyle w:val="Heading3"/>
      </w:pPr>
      <w:r>
        <w:t xml:space="preserve">1. Curriculum-Aligned Digital Solutions</w:t>
      </w:r>
    </w:p>
    <w:p>
      <w:pPr>
        <w:pStyle w:val="FirstParagraph"/>
      </w:pPr>
      <w:r>
        <w:t xml:space="preserve">In response to Bangladesh's National Education Policy 2010-2041, Teacher Secondary launched 'SSC Connect' – a mobile-first platform with Bengali interfaces for subjects like Physics and Chemistry. This initiative directly addresses Dhaka schools' needs for exam-focused content. During Q3, we onboarded 357 new schools (up 42% YoY), with Dhaka accounting for 78% of all activations.</w:t>
      </w:r>
    </w:p>
    <w:bookmarkEnd w:id="25"/>
    <w:bookmarkStart w:id="26" w:name="teacher-capacity-building"/>
    <w:p>
      <w:pPr>
        <w:pStyle w:val="Heading3"/>
      </w:pPr>
      <w:r>
        <w:t xml:space="preserve">2. Teacher Capacity Building</w:t>
      </w:r>
    </w:p>
    <w:p>
      <w:pPr>
        <w:pStyle w:val="FirstParagraph"/>
      </w:pPr>
      <w:r>
        <w:t xml:space="preserve">Recognizing teacher shortages in Bangladesh's secondary sector, our 'Dhaka Educator Program' delivered 156 workshops across the city, training 4,200 teachers in digital pedagogy. This initiative strengthened customer loyalty and generated recurring revenue streams through certified training modules.</w:t>
      </w:r>
    </w:p>
    <w:bookmarkEnd w:id="26"/>
    <w:bookmarkStart w:id="27" w:name="infrastructure-partnership-model"/>
    <w:p>
      <w:pPr>
        <w:pStyle w:val="Heading3"/>
      </w:pPr>
      <w:r>
        <w:t xml:space="preserve">3. Infrastructure Partnership Model</w:t>
      </w:r>
    </w:p>
    <w:p>
      <w:pPr>
        <w:pStyle w:val="FirstParagraph"/>
      </w:pPr>
      <w:r>
        <w:t xml:space="preserve">Teacher Secondary collaborated with Dhaka-based NGOs like BRAC Education Programme to distribute low-cost tablets to under-resourced schools in Gazipur and Narayanganj, creating a scalable model for the Bangladesh context. This resulted in 2,800 new institutional contracts.</w:t>
      </w:r>
    </w:p>
    <w:bookmarkEnd w:id="27"/>
    <w:bookmarkEnd w:id="28"/>
    <w:bookmarkStart w:id="29" w:name="challenges-encountered"/>
    <w:p>
      <w:pPr>
        <w:pStyle w:val="Heading2"/>
      </w:pPr>
      <w:r>
        <w:t xml:space="preserve">Challenges Encountered</w:t>
      </w:r>
    </w:p>
    <w:p>
      <w:pPr>
        <w:pStyle w:val="FirstParagraph"/>
      </w:pPr>
      <w:r>
        <w:t xml:space="preserve">Despite strong growth, Teacher Secondary faced several Bangladesh Dhaka-specific challenges:</w:t>
      </w:r>
    </w:p>
    <w:p>
      <w:pPr>
        <w:numPr>
          <w:ilvl w:val="0"/>
          <w:numId w:val="1002"/>
        </w:numPr>
        <w:pStyle w:val="Compact"/>
      </w:pPr>
      <w:r>
        <w:rPr>
          <w:bCs/>
          <w:b/>
        </w:rPr>
        <w:t xml:space="preserve">Power Instability:</w:t>
      </w:r>
      <w:r>
        <w:t xml:space="preserve"> </w:t>
      </w:r>
      <w:r>
        <w:t xml:space="preserve">Frequent outages in Dhaka's older districts disrupted digital platform access. Mitigation: We partnered with local solar energy providers for backup solutions at key schools.</w:t>
      </w:r>
    </w:p>
    <w:p>
      <w:pPr>
        <w:numPr>
          <w:ilvl w:val="0"/>
          <w:numId w:val="1002"/>
        </w:numPr>
        <w:pStyle w:val="Compact"/>
      </w:pPr>
      <w:r>
        <w:rPr>
          <w:bCs/>
          <w:b/>
        </w:rPr>
        <w:t xml:space="preserve">Curriculum Updates:</w:t>
      </w:r>
      <w:r>
        <w:t xml:space="preserve"> </w:t>
      </w:r>
      <w:r>
        <w:t xml:space="preserve">Bangladesh's Ministry of Education revised SSC syllabi quarterly, requiring rapid content adaptation. Our Dhaka R&amp;D team reduced update cycles from 90 to 35 days.</w:t>
      </w:r>
    </w:p>
    <w:p>
      <w:pPr>
        <w:numPr>
          <w:ilvl w:val="0"/>
          <w:numId w:val="1002"/>
        </w:numPr>
        <w:pStyle w:val="Compact"/>
      </w:pPr>
      <w:r>
        <w:rPr>
          <w:bCs/>
          <w:b/>
        </w:rPr>
        <w:t xml:space="preserve">Competition:</w:t>
      </w:r>
      <w:r>
        <w:t xml:space="preserve"> </w:t>
      </w:r>
      <w:r>
        <w:t xml:space="preserve">Local vendors offered cheaper alternatives, but Teacher Secondary countered with superior quality and ministry-endorsed materials.</w:t>
      </w:r>
    </w:p>
    <w:bookmarkEnd w:id="29"/>
    <w:bookmarkStart w:id="30" w:name="future-strategy-for-bangladesh-dhaka"/>
    <w:p>
      <w:pPr>
        <w:pStyle w:val="Heading2"/>
      </w:pPr>
      <w:r>
        <w:t xml:space="preserve">Future Strategy for Bangladesh Dhaka</w:t>
      </w:r>
    </w:p>
    <w:p>
      <w:pPr>
        <w:pStyle w:val="FirstParagraph"/>
      </w:pPr>
      <w:r>
        <w:t xml:space="preserve">To sustain growth in the competitive Dhaka market, Teacher Secondary will implement these targeted initiatives:</w:t>
      </w:r>
    </w:p>
    <w:p>
      <w:pPr>
        <w:numPr>
          <w:ilvl w:val="0"/>
          <w:numId w:val="1003"/>
        </w:numPr>
        <w:pStyle w:val="Compact"/>
      </w:pPr>
      <w:r>
        <w:rPr>
          <w:bCs/>
          <w:b/>
        </w:rPr>
        <w:t xml:space="preserve">Expansion into Rural-Dhaka Periphery:</w:t>
      </w:r>
      <w:r>
        <w:t xml:space="preserve"> </w:t>
      </w:r>
      <w:r>
        <w:t xml:space="preserve">Targeting satellite cities (Narayanganj, Tongi) where school enrollment is growing at 11% annually.</w:t>
      </w:r>
    </w:p>
    <w:p>
      <w:pPr>
        <w:numPr>
          <w:ilvl w:val="0"/>
          <w:numId w:val="1003"/>
        </w:numPr>
        <w:pStyle w:val="Compact"/>
      </w:pPr>
      <w:r>
        <w:rPr>
          <w:bCs/>
          <w:b/>
        </w:rPr>
        <w:t xml:space="preserve">Bengali AI Tutor Development:</w:t>
      </w:r>
      <w:r>
        <w:t xml:space="preserve"> </w:t>
      </w:r>
      <w:r>
        <w:t xml:space="preserve">Creating an AI-powered homework assistant for Dhaka students, addressing the 40% teacher-student ratio challenge in secondary schools.</w:t>
      </w:r>
    </w:p>
    <w:p>
      <w:pPr>
        <w:numPr>
          <w:ilvl w:val="0"/>
          <w:numId w:val="1003"/>
        </w:numPr>
        <w:pStyle w:val="Compact"/>
      </w:pPr>
      <w:r>
        <w:rPr>
          <w:bCs/>
          <w:b/>
        </w:rPr>
        <w:t xml:space="preserve">Government Compliance Enhancement:</w:t>
      </w:r>
      <w:r>
        <w:t xml:space="preserve"> </w:t>
      </w:r>
      <w:r>
        <w:t xml:space="preserve">Strengthening alignment with Bangladesh's 'Digital Bangladesh' initiative through certified MOE partnerships.</w:t>
      </w:r>
    </w:p>
    <w:p>
      <w:pPr>
        <w:pStyle w:val="FirstParagraph"/>
      </w:pPr>
      <w:r>
        <w:rPr>
          <w:bCs/>
          <w:b/>
        </w:rPr>
        <w:t xml:space="preserve">2024 Q1 Target:</w:t>
      </w:r>
      <w:r>
        <w:t xml:space="preserve"> </w:t>
      </w:r>
      <w:r>
        <w:t xml:space="preserve">Achieve 35% market share in Dhaka secondary education solutions by expanding digital platform access to 500+ additional schools through Dhaka's public-private education partnerships.</w:t>
      </w:r>
    </w:p>
    <w:bookmarkEnd w:id="30"/>
    <w:bookmarkStart w:id="31" w:name="conclusion"/>
    <w:p>
      <w:pPr>
        <w:pStyle w:val="Heading2"/>
      </w:pPr>
      <w:r>
        <w:t xml:space="preserve">Conclusion</w:t>
      </w:r>
    </w:p>
    <w:p>
      <w:pPr>
        <w:pStyle w:val="FirstParagraph"/>
      </w:pPr>
      <w:r>
        <w:t xml:space="preserve">The Q3 2023 Sales Report for Teacher Secondary underscores our exceptional performance in Bangladesh Dhaka, the nation's educational epicenter. By embedding ourselves within Bangladesh's secondary education ecosystem – understanding curriculum demands, addressing infrastructure gaps, and partnering with local institutions – we've transformed market challenges into growth opportunities. Our success in Dhaka validates the efficacy of hyper-localized strategies for educational solutions in developing markets.</w:t>
      </w:r>
    </w:p>
    <w:p>
      <w:pPr>
        <w:pStyle w:val="BodyText"/>
      </w:pPr>
      <w:r>
        <w:t xml:space="preserve">As Bangladesh advances its 'Education 2030' vision, Teacher Secondary remains positioned as the indispensable partner for schools navigating digital transformation. The company's commitment to delivering curriculum-aligned, culturally relevant education tools has not only driven sales growth but also contributed meaningfully to improving secondary education quality across Dhaka. We project continued expansion in Bangladesh Dhaka market share, with Q4 2023 target of BDT 56M revenue (19% YoY growth) firmly within reach through our established local partnerships and adaptive product development.</w:t>
      </w:r>
    </w:p>
    <w:p>
      <w:pPr>
        <w:pStyle w:val="BodyText"/>
      </w:pPr>
      <w:r>
        <w:rPr>
          <w:bCs/>
          <w:b/>
        </w:rPr>
        <w:t xml:space="preserve">Prepared for:</w:t>
      </w:r>
      <w:r>
        <w:t xml:space="preserve"> </w:t>
      </w:r>
      <w:r>
        <w:t xml:space="preserve">Teacher Secondary Executive Board</w:t>
      </w:r>
      <w:r>
        <w:br/>
      </w:r>
      <w:r>
        <w:rPr>
          <w:bCs/>
          <w:b/>
        </w:rPr>
        <w:t xml:space="preserve">Reporting Period:</w:t>
      </w:r>
      <w:r>
        <w:t xml:space="preserve"> </w:t>
      </w:r>
      <w:r>
        <w:t xml:space="preserve">July 1, 2023 - September 30, 2023</w:t>
      </w:r>
      <w:r>
        <w:br/>
      </w:r>
      <w:r>
        <w:rPr>
          <w:bCs/>
          <w:b/>
        </w:rPr>
        <w:t xml:space="preserve">Location Focus:</w:t>
      </w:r>
      <w:r>
        <w:t xml:space="preserve"> </w:t>
      </w:r>
      <w:r>
        <w:t xml:space="preserve">Dhaka, Bangladesh</w:t>
      </w:r>
    </w:p>
    <w:bookmarkEnd w:id="31"/>
    <w:p>
      <w:pPr>
        <w:pStyle w:val="BodyText"/>
      </w:pPr>
      <w:r>
        <w:t xml:space="preserve">This report is proprietary to Teacher Secondary Limited. All data verified against Dhaka education ministry records and company CRM systems.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 Bangladesh Dhaka</dc:title>
  <dc:creator/>
  <dc:language>en</dc:language>
  <cp:keywords/>
  <dcterms:created xsi:type="dcterms:W3CDTF">2025-12-10T12:16:21Z</dcterms:created>
  <dcterms:modified xsi:type="dcterms:W3CDTF">2025-12-10T12:16:21Z</dcterms:modified>
</cp:coreProperties>
</file>

<file path=docProps/custom.xml><?xml version="1.0" encoding="utf-8"?>
<Properties xmlns="http://schemas.openxmlformats.org/officeDocument/2006/custom-properties" xmlns:vt="http://schemas.openxmlformats.org/officeDocument/2006/docPropsVTypes"/>
</file>