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w:t>
      </w:r>
      <w:r>
        <w:t xml:space="preserve"> </w:t>
      </w:r>
      <w:r>
        <w:t xml:space="preserve">Belgium</w:t>
      </w:r>
      <w:r>
        <w:t xml:space="preserve"> </w:t>
      </w:r>
      <w:r>
        <w:t xml:space="preserve">Brussels</w:t>
      </w:r>
      <w:r>
        <w:t xml:space="preserve"> </w:t>
      </w:r>
      <w:r>
        <w:t xml:space="preserve">Market</w:t>
      </w:r>
    </w:p>
    <w:bookmarkStart w:id="29" w:name="Xeba761a8dcb0e658220c943ab7d4530d36a967d"/>
    <w:p>
      <w:pPr>
        <w:pStyle w:val="Heading1"/>
      </w:pPr>
      <w:r>
        <w:t xml:space="preserve">Sales Report for Teacher Secondary Services in Belgium Brussels</w:t>
      </w:r>
    </w:p>
    <w:bookmarkStart w:id="20" w:name="executive-summary"/>
    <w:p>
      <w:pPr>
        <w:pStyle w:val="Heading2"/>
      </w:pPr>
      <w:r>
        <w:t xml:space="preserve">Executive Summary</w:t>
      </w:r>
    </w:p>
    <w:p>
      <w:pPr>
        <w:pStyle w:val="FirstParagraph"/>
      </w:pPr>
      <w:r>
        <w:t xml:space="preserve">This comprehensive Sales Report analyzes the performance of our Teacher Secondary educational support services across the Brussels-Capital Region. Covering Q1-Q3 2023, the report demonstrates a significant market penetration strategy tailored specifically for secondary educators in Belgium's linguistic and cultural mosaic. With a 37% year-over-year growth in subscription uptake and strong adoption rates among Brussels' secondary schools, this initiative has proven instrumental in addressing localized educational challenges. The report underscores how our solutions align with the unique pedagogical demands of Belgian secondary classrooms while navigating Brussels' complex bilingual educational landscape.</w:t>
      </w:r>
    </w:p>
    <w:bookmarkEnd w:id="20"/>
    <w:bookmarkStart w:id="21" w:name="X41361a5b209ab42f5ed9eb84913cf0536a58228"/>
    <w:p>
      <w:pPr>
        <w:pStyle w:val="Heading2"/>
      </w:pPr>
      <w:r>
        <w:t xml:space="preserve">Market Context: Teacher Secondary Landscape in Belgium Brussels</w:t>
      </w:r>
    </w:p>
    <w:p>
      <w:pPr>
        <w:pStyle w:val="FirstParagraph"/>
      </w:pPr>
      <w:r>
        <w:t xml:space="preserve">Belgium's secondary education system (ages 12-18) operates under distinct regional frameworks. In the Brussels-Capital Region, over 450 secondary schools serve a diverse population where 60% of students attend French-language institutions and 35% attend Dutch-language schools, with significant immigrant communities requiring tailored pedagogical approaches. This linguistic duality creates unique challenges for educators that our Teacher Secondary solutions directly address.</w:t>
      </w:r>
    </w:p>
    <w:p>
      <w:pPr>
        <w:pStyle w:val="BodyText"/>
      </w:pPr>
      <w:r>
        <w:t xml:space="preserve">Our market research indicates that Brussels secondary teachers spend an average of 14 hours weekly on administrative tasks unrelated to instruction – a critical pain point we've mitigated through our platform's automated curriculum alignment tools. The recent Belgian government initiative (2022) emphasizing "digital pedagogy integration" further accelerated demand for our specialized services, positioning us as a strategic partner for Brussels' educational transformation.</w:t>
      </w:r>
    </w:p>
    <w:bookmarkEnd w:id="21"/>
    <w:bookmarkStart w:id="24" w:name="sales-performance-breakdown"/>
    <w:p>
      <w:pPr>
        <w:pStyle w:val="Heading2"/>
      </w:pPr>
      <w:r>
        <w:t xml:space="preserve">Sales Performance Breakdown</w:t>
      </w:r>
    </w:p>
    <w:bookmarkStart w:id="22" w:name="regional-adoption-metrics-brussels-focus"/>
    <w:p>
      <w:pPr>
        <w:pStyle w:val="Heading3"/>
      </w:pPr>
      <w:r>
        <w:t xml:space="preserve">Regional Adoption Metrics (Brussels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Q1-Q3 2023</w:t>
            </w:r>
          </w:p>
        </w:tc>
        <w:tc>
          <w:tcPr/>
          <w:p>
            <w:pPr>
              <w:pStyle w:val="Compact"/>
              <w:jc w:val="left"/>
            </w:pPr>
            <w:r>
              <w:t xml:space="preserve">YoY Change</w:t>
            </w:r>
          </w:p>
        </w:tc>
        <w:tc>
          <w:tcPr/>
          <w:p>
            <w:pPr>
              <w:pStyle w:val="Compact"/>
              <w:jc w:val="left"/>
            </w:pPr>
            <w:r>
              <w:t xml:space="preserve">Brussels Market Share</w:t>
            </w:r>
          </w:p>
        </w:tc>
      </w:tr>
      <w:tr>
        <w:tc>
          <w:tcPr/>
          <w:p>
            <w:pPr>
              <w:pStyle w:val="Compact"/>
              <w:jc w:val="left"/>
            </w:pPr>
            <w:r>
              <w:t xml:space="preserve">New School Subscriptions (Secondary)</w:t>
            </w:r>
          </w:p>
        </w:tc>
        <w:tc>
          <w:tcPr/>
          <w:p>
            <w:pPr>
              <w:pStyle w:val="Compact"/>
              <w:jc w:val="left"/>
            </w:pPr>
            <w:r>
              <w:t xml:space="preserve">127 institutions</w:t>
            </w:r>
          </w:p>
        </w:tc>
        <w:tc>
          <w:tcPr/>
          <w:p>
            <w:pPr>
              <w:pStyle w:val="Compact"/>
              <w:jc w:val="left"/>
            </w:pPr>
            <w:r>
              <w:t xml:space="preserve">+37%</w:t>
            </w:r>
          </w:p>
        </w:tc>
        <w:tc>
          <w:tcPr/>
          <w:p>
            <w:pPr>
              <w:pStyle w:val="Compact"/>
              <w:jc w:val="left"/>
            </w:pPr>
            <w:r>
              <w:t xml:space="preserve">68% of total Belgium secondary market</w:t>
            </w:r>
          </w:p>
        </w:tc>
      </w:tr>
      <w:tr>
        <w:tc>
          <w:tcPr/>
          <w:p>
            <w:pPr>
              <w:pStyle w:val="Compact"/>
              <w:jc w:val="left"/>
            </w:pPr>
            <w:r>
              <w:t xml:space="preserve">Average Revenue Per User (ARPU)</w:t>
            </w:r>
          </w:p>
        </w:tc>
        <w:tc>
          <w:tcPr/>
          <w:p>
            <w:pPr>
              <w:pStyle w:val="Compact"/>
              <w:jc w:val="left"/>
            </w:pPr>
            <w:r>
              <w:t xml:space="preserve">€1,450/yr</w:t>
            </w:r>
          </w:p>
        </w:tc>
        <w:tc>
          <w:tcPr/>
          <w:p>
            <w:pPr>
              <w:pStyle w:val="Compact"/>
              <w:jc w:val="left"/>
            </w:pPr>
            <w:r>
              <w:t xml:space="preserve">+12%</w:t>
            </w:r>
          </w:p>
        </w:tc>
        <w:tc>
          <w:tcPr/>
          <w:p>
            <w:pPr>
              <w:pStyle w:val="Compact"/>
              <w:jc w:val="left"/>
            </w:pPr>
            <w:r>
              <w:t xml:space="preserve">Consistent with regional premium pricing</w:t>
            </w:r>
          </w:p>
        </w:tc>
      </w:tr>
      <w:tr>
        <w:tc>
          <w:tcPr/>
          <w:p>
            <w:pPr>
              <w:pStyle w:val="Compact"/>
              <w:jc w:val="left"/>
            </w:pPr>
            <w:r>
              <w:t xml:space="preserve">Teacher Adoption Rate (per school)</w:t>
            </w:r>
          </w:p>
        </w:tc>
        <w:tc>
          <w:tcPr/>
          <w:p>
            <w:pPr>
              <w:pStyle w:val="Compact"/>
              <w:jc w:val="left"/>
            </w:pPr>
            <w:r>
              <w:t xml:space="preserve">78% of enrolled teachers</w:t>
            </w:r>
          </w:p>
        </w:tc>
        <w:tc>
          <w:tcPr/>
          <w:p>
            <w:pPr>
              <w:pStyle w:val="Compact"/>
              <w:jc w:val="left"/>
            </w:pPr>
            <w:r>
              <w:t xml:space="preserve">+22%</w:t>
            </w:r>
          </w:p>
        </w:tc>
        <w:tc>
          <w:tcPr/>
          <w:p>
            <w:pPr>
              <w:pStyle w:val="Compact"/>
              <w:jc w:val="left"/>
            </w:pPr>
            <w:r>
              <w:t xml:space="preserve">Exceeds national average by 18%</w:t>
            </w:r>
          </w:p>
        </w:tc>
      </w:tr>
      <w:tr>
        <w:tc>
          <w:tcPr/>
          <w:p>
            <w:pPr>
              <w:pStyle w:val="Compact"/>
              <w:jc w:val="left"/>
            </w:pPr>
            <w:r>
              <w:t xml:space="preserve">Customer Retention Rate</w:t>
            </w:r>
          </w:p>
        </w:tc>
        <w:tc>
          <w:tcPr/>
          <w:p>
            <w:pPr>
              <w:pStyle w:val="Compact"/>
              <w:jc w:val="left"/>
            </w:pPr>
            <w:r>
              <w:t xml:space="preserve">91%</w:t>
            </w:r>
          </w:p>
        </w:tc>
        <w:tc>
          <w:tcPr>
            <w:gridSpan w:val="2"/>
          </w:tcPr>
          <w:p>
            <w:pPr>
              <w:pStyle w:val="Compact"/>
              <w:jc w:val="left"/>
            </w:pPr>
            <w:r>
              <w:t xml:space="preserve">Stronger than national average (85%)</w:t>
            </w:r>
          </w:p>
        </w:tc>
      </w:tr>
    </w:tbl>
    <w:bookmarkEnd w:id="22"/>
    <w:bookmarkStart w:id="23" w:name="product-specific-performance"/>
    <w:p>
      <w:pPr>
        <w:pStyle w:val="Heading3"/>
      </w:pPr>
      <w:r>
        <w:t xml:space="preserve">Product-Specific Performance</w:t>
      </w:r>
    </w:p>
    <w:p>
      <w:pPr>
        <w:pStyle w:val="FirstParagraph"/>
      </w:pPr>
      <w:r>
        <w:t xml:space="preserve">Our Teacher Secondary platform's core features show exceptional relevance to Brussels' educational context:</w:t>
      </w:r>
    </w:p>
    <w:p>
      <w:pPr>
        <w:numPr>
          <w:ilvl w:val="0"/>
          <w:numId w:val="1001"/>
        </w:numPr>
        <w:pStyle w:val="Compact"/>
      </w:pPr>
      <w:r>
        <w:rPr>
          <w:bCs/>
          <w:b/>
        </w:rPr>
        <w:t xml:space="preserve">Bilingual Resource Library:</w:t>
      </w:r>
      <w:r>
        <w:t xml:space="preserve"> </w:t>
      </w:r>
      <w:r>
        <w:t xml:space="preserve">89% of Brussels schools use French/Dutch dual-language lesson templates, directly addressing the region's linguistic needs. This feature saw a 53% increase in usage since Q1.</w:t>
      </w:r>
    </w:p>
    <w:p>
      <w:pPr>
        <w:numPr>
          <w:ilvl w:val="0"/>
          <w:numId w:val="1001"/>
        </w:numPr>
        <w:pStyle w:val="Compact"/>
      </w:pPr>
      <w:r>
        <w:rPr>
          <w:bCs/>
          <w:b/>
        </w:rPr>
        <w:t xml:space="preserve">Curriculum Mapping Tool:</w:t>
      </w:r>
      <w:r>
        <w:t xml:space="preserve"> </w:t>
      </w:r>
      <w:r>
        <w:t xml:space="preserve">Integrated with the Belgian national secondary curriculum (including specific Brussels-validated modules), reducing teacher planning time by 28%. Adopted by 74% of subscribed schools.</w:t>
      </w:r>
    </w:p>
    <w:p>
      <w:pPr>
        <w:numPr>
          <w:ilvl w:val="0"/>
          <w:numId w:val="1001"/>
        </w:numPr>
        <w:pStyle w:val="Compact"/>
      </w:pPr>
      <w:r>
        <w:rPr>
          <w:bCs/>
          <w:b/>
        </w:rPr>
        <w:t xml:space="preserve">Cultural Sensitivity Modules:</w:t>
      </w:r>
      <w:r>
        <w:t xml:space="preserve"> </w:t>
      </w:r>
      <w:r>
        <w:t xml:space="preserve">Specialized training for handling diverse classrooms – a critical need in Brussels' immigrant-rich schools. This module drove 32% of new school acquisitions in Q3.</w:t>
      </w:r>
    </w:p>
    <w:bookmarkEnd w:id="23"/>
    <w:bookmarkEnd w:id="24"/>
    <w:bookmarkStart w:id="25" w:name="X5295a7bde460d5ccc4a028d2540757326e9cf48"/>
    <w:p>
      <w:pPr>
        <w:pStyle w:val="Heading2"/>
      </w:pPr>
      <w:r>
        <w:t xml:space="preserve">Key Success Factors in Belgium Brussels Market</w:t>
      </w:r>
    </w:p>
    <w:p>
      <w:pPr>
        <w:pStyle w:val="FirstParagraph"/>
      </w:pPr>
      <w:r>
        <w:t xml:space="preserve">Our dominance in the Teacher Secondary segment stems from three strategic pillars:</w:t>
      </w:r>
    </w:p>
    <w:p>
      <w:pPr>
        <w:numPr>
          <w:ilvl w:val="0"/>
          <w:numId w:val="1002"/>
        </w:numPr>
        <w:pStyle w:val="Compact"/>
      </w:pPr>
      <w:r>
        <w:rPr>
          <w:bCs/>
          <w:b/>
        </w:rPr>
        <w:t xml:space="preserve">Hyper-Local Customization:</w:t>
      </w:r>
      <w:r>
        <w:t xml:space="preserve"> </w:t>
      </w:r>
      <w:r>
        <w:t xml:space="preserve">We co-developed our platform with the Brussels Education Directorate (Bruxelles-Enseignement), incorporating their specific digital competency framework. This collaboration resulted in 96% of schools reporting "immediate alignment" with local requirements.</w:t>
      </w:r>
    </w:p>
    <w:p>
      <w:pPr>
        <w:numPr>
          <w:ilvl w:val="0"/>
          <w:numId w:val="1002"/>
        </w:numPr>
        <w:pStyle w:val="Compact"/>
      </w:pPr>
      <w:r>
        <w:rPr>
          <w:bCs/>
          <w:b/>
        </w:rPr>
        <w:t xml:space="preserve">Language Integration:</w:t>
      </w:r>
      <w:r>
        <w:t xml:space="preserve"> </w:t>
      </w:r>
      <w:r>
        <w:t xml:space="preserve">Unlike competitors offering only French or Dutch versions, our platform dynamically switches interface language based on teacher preferences. This eliminated a major barrier for Brussels educators working in bilingual environments.</w:t>
      </w:r>
    </w:p>
    <w:p>
      <w:pPr>
        <w:numPr>
          <w:ilvl w:val="0"/>
          <w:numId w:val="1002"/>
        </w:numPr>
        <w:pStyle w:val="Compact"/>
      </w:pPr>
      <w:r>
        <w:rPr>
          <w:bCs/>
          <w:b/>
        </w:rPr>
        <w:t xml:space="preserve">Stakeholder Engagement:</w:t>
      </w:r>
      <w:r>
        <w:t xml:space="preserve"> </w:t>
      </w:r>
      <w:r>
        <w:t xml:space="preserve">We established relationships with key Brussels educational bodies including the FPS Education and the Intercommunal Commission for Secondary Education (C.I.E.S.). These partnerships facilitated school access and credibility.</w:t>
      </w:r>
    </w:p>
    <w:bookmarkEnd w:id="25"/>
    <w:bookmarkStart w:id="26" w:name="challenges-and-strategic-responses"/>
    <w:p>
      <w:pPr>
        <w:pStyle w:val="Heading2"/>
      </w:pPr>
      <w:r>
        <w:t xml:space="preserve">Challenges and Strategic Responses</w:t>
      </w:r>
    </w:p>
    <w:p>
      <w:pPr>
        <w:pStyle w:val="FirstParagraph"/>
      </w:pPr>
      <w:r>
        <w:t xml:space="preserve">Despite strong performance, we identified two critical challenges unique to Belgium Brussels:</w:t>
      </w:r>
    </w:p>
    <w:p>
      <w:pPr>
        <w:numPr>
          <w:ilvl w:val="0"/>
          <w:numId w:val="1003"/>
        </w:numPr>
        <w:pStyle w:val="Compact"/>
      </w:pPr>
      <w:r>
        <w:rPr>
          <w:bCs/>
          <w:b/>
        </w:rPr>
        <w:t xml:space="preserve">Linguistic Fragmentation:</w:t>
      </w:r>
      <w:r>
        <w:t xml:space="preserve"> </w:t>
      </w:r>
      <w:r>
        <w:t xml:space="preserve">While the bilingual approach was successful, some Flemish-language schools in Brussels required additional Dutch-specific content. *Response:* Launched a dedicated Dutch module with regional curriculum specialists, increasing adoption in Flemish-speaking institutions by 27%.</w:t>
      </w:r>
    </w:p>
    <w:p>
      <w:pPr>
        <w:numPr>
          <w:ilvl w:val="0"/>
          <w:numId w:val="1003"/>
        </w:numPr>
        <w:pStyle w:val="Compact"/>
      </w:pPr>
      <w:r>
        <w:rPr>
          <w:bCs/>
          <w:b/>
        </w:rPr>
        <w:t xml:space="preserve">Administrative Complexity:</w:t>
      </w:r>
      <w:r>
        <w:t xml:space="preserve"> </w:t>
      </w:r>
      <w:r>
        <w:t xml:space="preserve">Schools navigated multiple approval processes from different language communities. *Response:* Created a single portal for all Brussels school administrators to streamline procurement, reducing onboarding time from 6 weeks to 10 days.</w:t>
      </w:r>
    </w:p>
    <w:bookmarkEnd w:id="26"/>
    <w:bookmarkStart w:id="27" w:name="future-outlook-and-recommendations"/>
    <w:p>
      <w:pPr>
        <w:pStyle w:val="Heading2"/>
      </w:pPr>
      <w:r>
        <w:t xml:space="preserve">Future Outlook and Recommendations</w:t>
      </w:r>
    </w:p>
    <w:p>
      <w:pPr>
        <w:pStyle w:val="FirstParagraph"/>
      </w:pPr>
      <w:r>
        <w:t xml:space="preserve">With the Belgian federal government's new "Digital Education Accelerator" fund (€50M allocated for Brussels schools in 2024), we project 45% growth in Teacher Secondary services within the region. Strategic recommendations include:</w:t>
      </w:r>
    </w:p>
    <w:p>
      <w:pPr>
        <w:numPr>
          <w:ilvl w:val="0"/>
          <w:numId w:val="1004"/>
        </w:numPr>
        <w:pStyle w:val="Compact"/>
      </w:pPr>
      <w:r>
        <w:rPr>
          <w:bCs/>
          <w:b/>
        </w:rPr>
        <w:t xml:space="preserve">Expand Immigrant Student Modules:</w:t>
      </w:r>
      <w:r>
        <w:t xml:space="preserve"> </w:t>
      </w:r>
      <w:r>
        <w:t xml:space="preserve">Partner with NGOs serving Brussels' refugee communities to develop culturally responsive teaching materials, targeting a new revenue stream.</w:t>
      </w:r>
    </w:p>
    <w:p>
      <w:pPr>
        <w:numPr>
          <w:ilvl w:val="0"/>
          <w:numId w:val="1004"/>
        </w:numPr>
        <w:pStyle w:val="Compact"/>
      </w:pPr>
      <w:r>
        <w:rPr>
          <w:bCs/>
          <w:b/>
        </w:rPr>
        <w:t xml:space="preserve">Integrate with Brussels' Digital School Infrastructure:</w:t>
      </w:r>
      <w:r>
        <w:t xml:space="preserve"> </w:t>
      </w:r>
      <w:r>
        <w:t xml:space="preserve">Develop API compatibility with the regional school management system (SIS), which 92% of secondary schools use. This will be our primary focus for Q1 2024.</w:t>
      </w:r>
    </w:p>
    <w:p>
      <w:pPr>
        <w:numPr>
          <w:ilvl w:val="0"/>
          <w:numId w:val="1004"/>
        </w:numPr>
        <w:pStyle w:val="Compact"/>
      </w:pPr>
      <w:r>
        <w:rPr>
          <w:bCs/>
          <w:b/>
        </w:rPr>
        <w:t xml:space="preserve">Leverage Teacher Community Networks:</w:t>
      </w:r>
      <w:r>
        <w:t xml:space="preserve"> </w:t>
      </w:r>
      <w:r>
        <w:t xml:space="preserve">Establish a "Brussels Secondary Educators Council" to gather direct feedback, enhancing product development while building brand loyalty in this critical market.</w:t>
      </w:r>
    </w:p>
    <w:bookmarkEnd w:id="27"/>
    <w:bookmarkStart w:id="28" w:name="conclusion"/>
    <w:p>
      <w:pPr>
        <w:pStyle w:val="Heading2"/>
      </w:pPr>
      <w:r>
        <w:t xml:space="preserve">Conclusion</w:t>
      </w:r>
    </w:p>
    <w:p>
      <w:pPr>
        <w:pStyle w:val="FirstParagraph"/>
      </w:pPr>
      <w:r>
        <w:t xml:space="preserve">This Sales Report confirms that our Teacher Secondary services have become an indispensable asset for Brussels' secondary education ecosystem. The region's unique linguistic demands and cultural diversity are not barriers but opportunities we've successfully navigated through hyper-localized solutions. With a 68% market share in the Brussels secondary sector – significantly higher than any competitor – and compelling evidence of teacher satisfaction (4.7/5 average rating in our regional surveys), our position is exceptionally strong.</w:t>
      </w:r>
    </w:p>
    <w:p>
      <w:pPr>
        <w:pStyle w:val="BodyText"/>
      </w:pPr>
      <w:r>
        <w:t xml:space="preserve">As we move toward 2024, the continued alignment with Belgium's educational priorities and Brussels' specific pedagogical landscape will drive sustained growth. The success of Teacher Secondary services in this market proves that deeply understanding a region's educational identity creates unmatched commercial opportunity. We remain committed to being the strategic partner for every secondary educator in Belgium Brussels, empowering them to deliver exceptional education in one of Europe's most dynamic learning environments.</w:t>
      </w:r>
    </w:p>
    <w:p>
      <w:pPr>
        <w:pStyle w:val="BodyText"/>
      </w:pPr>
      <w:r>
        <w:rPr>
          <w:iCs/>
          <w:i/>
        </w:rPr>
        <w:t xml:space="preserve">Prepared by: Global Education Solutions | Sales Analytics Division</w:t>
      </w:r>
      <w:r>
        <w:br/>
      </w:r>
      <w:r>
        <w:rPr>
          <w:iCs/>
          <w:i/>
        </w:rPr>
        <w:t xml:space="preserve">Report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Services - Belgium Brussels Market</dc:title>
  <dc:creator/>
  <dc:language>en</dc:language>
  <cp:keywords/>
  <dcterms:created xsi:type="dcterms:W3CDTF">2026-07-21T07:33:00Z</dcterms:created>
  <dcterms:modified xsi:type="dcterms:W3CDTF">2026-07-21T07:33:00Z</dcterms:modified>
</cp:coreProperties>
</file>

<file path=docProps/custom.xml><?xml version="1.0" encoding="utf-8"?>
<Properties xmlns="http://schemas.openxmlformats.org/officeDocument/2006/custom-properties" xmlns:vt="http://schemas.openxmlformats.org/officeDocument/2006/docPropsVTypes"/>
</file>