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Brazil</w:t>
      </w:r>
      <w:r>
        <w:t xml:space="preserve"> </w:t>
      </w:r>
      <w:r>
        <w:t xml:space="preserve">Brasília</w:t>
      </w:r>
      <w:r>
        <w:t xml:space="preserve"> </w:t>
      </w:r>
      <w:r>
        <w:t xml:space="preserve">Market</w:t>
      </w:r>
    </w:p>
    <w:bookmarkStart w:id="28" w:name="Xed506d4ea2ac8945e0bccd82fdfbe6e90eb5962"/>
    <w:p>
      <w:pPr>
        <w:pStyle w:val="Heading1"/>
      </w:pPr>
      <w:r>
        <w:t xml:space="preserve">Quarterly Sales Report: Teacher Secondary Products &amp; Services in Brazil Brasília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Education Solutions Division</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Teacher Secondary-focused educational solutions across Brazil Brasília during Q3 2023. The market for specialized tools catering to secondary school educators (ages 11-17) demonstrated robust growth, with a 34% year-over-year increase in sales volume. In Brasília, Brazil's federal capital and educational hub, we achieved unprecedented penetration among public and private secondary institutions. This success stems from our strategic alignment with the National Common Curriculum Base (BNCC) and localized content addressing the unique pedagogical challenges faced by Teacher Secondary professionals in Brazil's administrative center.</w:t>
      </w:r>
    </w:p>
    <w:bookmarkEnd w:id="20"/>
    <w:bookmarkStart w:id="21" w:name="X0b9485848d91e371aaa6d0439326390b55430c0"/>
    <w:p>
      <w:pPr>
        <w:pStyle w:val="Heading2"/>
      </w:pPr>
      <w:r>
        <w:t xml:space="preserve">II. Market Context: Teacher Secondary in Brasília, Brazil</w:t>
      </w:r>
    </w:p>
    <w:p>
      <w:pPr>
        <w:pStyle w:val="FirstParagraph"/>
      </w:pPr>
      <w:r>
        <w:t xml:space="preserve">Brasília represents a critical market for secondary education solutions due to its concentration of federal educational institutions, including 47 public high schools under the Ministry of Education and 18 private institutions with high enrollment (over 120,000 students). The Teacher Secondary demographic faces specific challenges: large class sizes (averaging 38 students), evolving curriculum mandates, and limited digital literacy resources. Our analysis confirms that 67% of secondary educators in Brasília identify "curriculum adaptation tools" as their top priority – directly aligning with our product suite. This report underscores how our solutions uniquely address these pain points for Teacher Secondary professionals across Brazil's political heartland.</w:t>
      </w:r>
    </w:p>
    <w:bookmarkEnd w:id="21"/>
    <w:bookmarkStart w:id="22" w:name="Xa4fbb75429d4d5ce3f487844c8d5f44be790822"/>
    <w:p>
      <w:pPr>
        <w:pStyle w:val="Heading2"/>
      </w:pPr>
      <w:r>
        <w:t xml:space="preserve">III. Sales Performance Highlights (Brasília,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Sales Volume</w:t>
            </w:r>
          </w:p>
        </w:tc>
        <w:tc>
          <w:tcPr/>
          <w:p>
            <w:pPr>
              <w:pStyle w:val="Compact"/>
              <w:jc w:val="left"/>
            </w:pPr>
            <w:r>
              <w:t xml:space="preserve">% YoY Growth</w:t>
            </w:r>
          </w:p>
        </w:tc>
        <w:tc>
          <w:tcPr/>
          <w:p>
            <w:pPr>
              <w:pStyle w:val="Compact"/>
              <w:jc w:val="left"/>
            </w:pPr>
            <w:r>
              <w:t xml:space="preserve">Key Client Institutions</w:t>
            </w:r>
          </w:p>
        </w:tc>
      </w:tr>
      <w:tr>
        <w:tc>
          <w:tcPr/>
          <w:p>
            <w:pPr>
              <w:pStyle w:val="Compact"/>
              <w:jc w:val="left"/>
            </w:pPr>
            <w:r>
              <w:t xml:space="preserve">Bilingual Digital Curriculum Kits (Teacher Secondary)</w:t>
            </w:r>
          </w:p>
        </w:tc>
        <w:tc>
          <w:tcPr/>
          <w:p>
            <w:pPr>
              <w:pStyle w:val="Compact"/>
              <w:jc w:val="left"/>
            </w:pPr>
            <w:r>
              <w:t xml:space="preserve">1,842 units</w:t>
            </w:r>
          </w:p>
        </w:tc>
        <w:tc>
          <w:tcPr/>
          <w:p>
            <w:pPr>
              <w:pStyle w:val="Compact"/>
              <w:jc w:val="left"/>
            </w:pPr>
            <w:r>
              <w:t xml:space="preserve">+41%</w:t>
            </w:r>
          </w:p>
        </w:tc>
        <w:tc>
          <w:tcPr/>
          <w:p>
            <w:pPr>
              <w:pStyle w:val="Compact"/>
              <w:jc w:val="left"/>
            </w:pPr>
            <w:r>
              <w:t xml:space="preserve">Colégio Nacional de Brasília, E.E. Presidente Vargas</w:t>
            </w:r>
          </w:p>
        </w:tc>
      </w:tr>
      <w:tr>
        <w:tc>
          <w:tcPr/>
          <w:p>
            <w:pPr>
              <w:pStyle w:val="Compact"/>
              <w:jc w:val="left"/>
            </w:pPr>
            <w:r>
              <w:t xml:space="preserve">BNCC Alignment Software Licenses</w:t>
            </w:r>
          </w:p>
        </w:tc>
        <w:tc>
          <w:tcPr/>
          <w:p>
            <w:pPr>
              <w:pStyle w:val="Compact"/>
              <w:jc w:val="left"/>
            </w:pPr>
            <w:r>
              <w:t xml:space="preserve">987 licenses</w:t>
            </w:r>
          </w:p>
        </w:tc>
        <w:tc>
          <w:tcPr/>
          <w:p>
            <w:pPr>
              <w:pStyle w:val="Compact"/>
              <w:jc w:val="left"/>
            </w:pPr>
            <w:r>
              <w:t xml:space="preserve">+29%</w:t>
            </w:r>
          </w:p>
        </w:tc>
        <w:tc>
          <w:tcPr/>
          <w:p>
            <w:pPr>
              <w:pStyle w:val="Compact"/>
              <w:jc w:val="left"/>
            </w:pPr>
            <w:r>
              <w:t xml:space="preserve">Escola Municipal de Ensino Médio 01, UNB High School Program</w:t>
            </w:r>
          </w:p>
        </w:tc>
      </w:tr>
      <w:tr>
        <w:tc>
          <w:tcPr/>
          <w:p>
            <w:pPr>
              <w:pStyle w:val="Compact"/>
              <w:jc w:val="left"/>
            </w:pPr>
            <w:r>
              <w:t xml:space="preserve">Professional Development Workshops (Teacher Secondary)</w:t>
            </w:r>
          </w:p>
        </w:tc>
        <w:tc>
          <w:tcPr/>
          <w:p>
            <w:pPr>
              <w:pStyle w:val="Compact"/>
              <w:jc w:val="left"/>
            </w:pPr>
            <w:r>
              <w:t xml:space="preserve">385 sessions</w:t>
            </w:r>
          </w:p>
        </w:tc>
        <w:tc>
          <w:tcPr/>
          <w:p>
            <w:pPr>
              <w:pStyle w:val="Compact"/>
              <w:jc w:val="left"/>
            </w:pPr>
            <w:r>
              <w:t xml:space="preserve">+52%</w:t>
            </w:r>
          </w:p>
        </w:tc>
        <w:tc>
          <w:tcPr/>
          <w:p>
            <w:pPr>
              <w:pStyle w:val="Compact"/>
              <w:jc w:val="left"/>
            </w:pPr>
            <w:r>
              <w:t xml:space="preserve">Municipal Education Secretariat Programs</w:t>
            </w:r>
          </w:p>
        </w:tc>
      </w:tr>
    </w:tbl>
    <w:p>
      <w:pPr>
        <w:pStyle w:val="BodyText"/>
      </w:pPr>
      <w:r>
        <w:rPr>
          <w:bCs/>
          <w:b/>
        </w:rPr>
        <w:t xml:space="preserve">Total Revenue from Brasília Market:</w:t>
      </w:r>
      <w:r>
        <w:t xml:space="preserve"> </w:t>
      </w:r>
      <w:r>
        <w:t xml:space="preserve">R$ 4.72M (USD $908K) - 38% above Q3 2022</w:t>
      </w:r>
    </w:p>
    <w:p>
      <w:pPr>
        <w:pStyle w:val="BodyText"/>
      </w:pPr>
      <w:r>
        <w:rPr>
          <w:iCs/>
          <w:i/>
        </w:rPr>
        <w:t xml:space="preserve">Key Insight:</w:t>
      </w:r>
      <w:r>
        <w:t xml:space="preserve"> </w:t>
      </w:r>
      <w:r>
        <w:t xml:space="preserve">The 52% growth in professional development sessions reflects rising demand for Teacher Secondary capacity building, particularly around digital pedagogy – a critical need identified in Brasília's "Educational Modernization Plan 2030."</w:t>
      </w:r>
    </w:p>
    <w:bookmarkEnd w:id="22"/>
    <w:bookmarkStart w:id="23" w:name="Xf99d68e46d169e93c5e180dd6d3a43c5bb8beef"/>
    <w:p>
      <w:pPr>
        <w:pStyle w:val="Heading2"/>
      </w:pPr>
      <w:r>
        <w:t xml:space="preserve">IV. Market Analysis: Why Brasília Leads Brazil</w:t>
      </w:r>
    </w:p>
    <w:p>
      <w:pPr>
        <w:pStyle w:val="FirstParagraph"/>
      </w:pPr>
      <w:r>
        <w:t xml:space="preserve">Brasília's position as Brazil's educational nerve center creates unique advantages for Teacher Secondary solutions. The city hosts the National Education Council (CNE) headquarters, driving curriculum standardization across 19 Brazilian states. This concentration enabled our localized implementation of BNCC-compliant tools that resonate with Teacher Secondary professionals nationwide. For example:</w:t>
      </w:r>
    </w:p>
    <w:p>
      <w:pPr>
        <w:numPr>
          <w:ilvl w:val="0"/>
          <w:numId w:val="1001"/>
        </w:numPr>
        <w:pStyle w:val="Compact"/>
      </w:pPr>
      <w:r>
        <w:t xml:space="preserve">Our "Brasília Edition" digital platform integrates the city's mandatory civic education modules (e.g., "Constitutional Citizenship for Youth"), directly addressing regional educational priorities.</w:t>
      </w:r>
    </w:p>
    <w:p>
      <w:pPr>
        <w:numPr>
          <w:ilvl w:val="0"/>
          <w:numId w:val="1001"/>
        </w:numPr>
        <w:pStyle w:val="Compact"/>
      </w:pPr>
      <w:r>
        <w:t xml:space="preserve">Partnership with Brasília's Municipal Education Network accelerated adoption by 27% through pre-approved curriculum integration pathways.</w:t>
      </w:r>
    </w:p>
    <w:p>
      <w:pPr>
        <w:numPr>
          <w:ilvl w:val="0"/>
          <w:numId w:val="1001"/>
        </w:numPr>
        <w:pStyle w:val="Compact"/>
      </w:pPr>
      <w:r>
        <w:t xml:space="preserve">Teacher Secondary feedback loops – established via monthly focus groups at Escola da Ponte (a leading public institution) – enabled rapid product iteration based on real classroom needs.</w:t>
      </w:r>
    </w:p>
    <w:bookmarkEnd w:id="23"/>
    <w:bookmarkStart w:id="24" w:name="v.-challenges-strategic-responses"/>
    <w:p>
      <w:pPr>
        <w:pStyle w:val="Heading2"/>
      </w:pPr>
      <w:r>
        <w:t xml:space="preserve">V. Challenges &amp; Strategic Responses</w:t>
      </w:r>
    </w:p>
    <w:p>
      <w:pPr>
        <w:pStyle w:val="FirstParagraph"/>
      </w:pPr>
      <w:r>
        <w:t xml:space="preserve">Despite strong performance, two key challenges emerged:</w:t>
      </w:r>
    </w:p>
    <w:p>
      <w:pPr>
        <w:numPr>
          <w:ilvl w:val="0"/>
          <w:numId w:val="1002"/>
        </w:numPr>
        <w:pStyle w:val="Compact"/>
      </w:pPr>
      <w:r>
        <w:rPr>
          <w:bCs/>
          <w:b/>
        </w:rPr>
        <w:t xml:space="preserve">Budget Constraints in Public Schools:</w:t>
      </w:r>
      <w:r>
        <w:t xml:space="preserve"> </w:t>
      </w:r>
      <w:r>
        <w:t xml:space="preserve">43% of public Teacher Secondary institutions cited funding shortages. *Response:* Launched a "Brasília Educator Partnership" with the Federal Government, offering subsidized licensing tiers for schools participating in the National Digital Education Program (PNED).</w:t>
      </w:r>
    </w:p>
    <w:p>
      <w:pPr>
        <w:numPr>
          <w:ilvl w:val="0"/>
          <w:numId w:val="1002"/>
        </w:numPr>
        <w:pStyle w:val="Compact"/>
      </w:pPr>
      <w:r>
        <w:rPr>
          <w:bCs/>
          <w:b/>
        </w:rPr>
        <w:t xml:space="preserve">Digital Literacy Gaps:</w:t>
      </w:r>
      <w:r>
        <w:t xml:space="preserve"> </w:t>
      </w:r>
      <w:r>
        <w:t xml:space="preserve">61% of secondary teachers lacked training in using our platforms. *Response:* Deployed mobile "Tech Buddy" teams across Brasília to conduct on-site training at 28 institutions, increasing platform utilization by 74%.</w:t>
      </w:r>
    </w:p>
    <w:bookmarkEnd w:id="24"/>
    <w:bookmarkStart w:id="25" w:name="X091cccfe1075e5a5c3b55dd9131ebd7eb4d65c7"/>
    <w:p>
      <w:pPr>
        <w:pStyle w:val="Heading2"/>
      </w:pPr>
      <w:r>
        <w:t xml:space="preserve">VI. Recommendations for Brazil's Teacher Secondary Market Expansion</w:t>
      </w:r>
    </w:p>
    <w:p>
      <w:pPr>
        <w:pStyle w:val="FirstParagraph"/>
      </w:pPr>
      <w:r>
        <w:t xml:space="preserve">Based on Brasília's success, we recommend scaling these strategies nationally:</w:t>
      </w:r>
    </w:p>
    <w:p>
      <w:pPr>
        <w:numPr>
          <w:ilvl w:val="0"/>
          <w:numId w:val="1003"/>
        </w:numPr>
        <w:pStyle w:val="Compact"/>
      </w:pPr>
      <w:r>
        <w:rPr>
          <w:bCs/>
          <w:b/>
        </w:rPr>
        <w:t xml:space="preserve">Forge Federal Partnerships:</w:t>
      </w:r>
      <w:r>
        <w:t xml:space="preserve"> </w:t>
      </w:r>
      <w:r>
        <w:t xml:space="preserve">Leverage Brasília's central position to secure Ministry of Education (MEC) certification for Teacher Secondary products across all states. The MEC’s 2024 Digital Education Agenda offers a $350M budget for school tech adoption.</w:t>
      </w:r>
    </w:p>
    <w:p>
      <w:pPr>
        <w:numPr>
          <w:ilvl w:val="0"/>
          <w:numId w:val="1003"/>
        </w:numPr>
        <w:pStyle w:val="Compact"/>
      </w:pPr>
      <w:r>
        <w:rPr>
          <w:bCs/>
          <w:b/>
        </w:rPr>
        <w:t xml:space="preserve">Localized Content Development:</w:t>
      </w:r>
      <w:r>
        <w:t xml:space="preserve"> </w:t>
      </w:r>
      <w:r>
        <w:t xml:space="preserve">Create region-specific Teacher Secondary modules – e.g., "Amazon Basin Environmental Science" for schools in the Federal District, aligning with Brasília's role as an ecological education hub.</w:t>
      </w:r>
    </w:p>
    <w:p>
      <w:pPr>
        <w:numPr>
          <w:ilvl w:val="0"/>
          <w:numId w:val="1003"/>
        </w:numPr>
        <w:pStyle w:val="Compact"/>
      </w:pPr>
      <w:r>
        <w:rPr>
          <w:bCs/>
          <w:b/>
        </w:rPr>
        <w:t xml:space="preserve">Teacher Community Building:</w:t>
      </w:r>
      <w:r>
        <w:t xml:space="preserve"> </w:t>
      </w:r>
      <w:r>
        <w:t xml:space="preserve">Establish a national "Teacher Secondary Network" with Brasília as the regional headquarters, facilitating peer-to-peer learning across Brazil’s 560+ secondary teacher unions.</w:t>
      </w:r>
    </w:p>
    <w:bookmarkEnd w:id="25"/>
    <w:bookmarkStart w:id="27" w:name="Xac9d3a49da31967b23140500d7cc6dc7832e844"/>
    <w:p>
      <w:pPr>
        <w:pStyle w:val="Heading2"/>
      </w:pPr>
      <w:r>
        <w:t xml:space="preserve">VII. Conclusion: The Teacher Secondary Imperative in Brazil</w:t>
      </w:r>
    </w:p>
    <w:p>
      <w:pPr>
        <w:pStyle w:val="FirstParagraph"/>
      </w:pPr>
      <w:r>
        <w:t xml:space="preserve">The Q3 performance in Brazil Brasília confirms that Teacher Secondary-focused solutions are no longer a niche offering but a fundamental requirement for educational excellence. Our 34% YoY growth – outpacing the broader EdTech market (18%) – proves that when products directly address the daily realities of secondary educators, success follows. As Brazil advances toward its goal of universal high school completion by 2030, Teacher Secondary professionals will be central to this mission. The Brasília market has demonstrated how localized, curriculum-aligned solutions can transform educator efficacy and student outcomes.</w:t>
      </w:r>
    </w:p>
    <w:p>
      <w:pPr>
        <w:pStyle w:val="BodyText"/>
      </w:pPr>
      <w:r>
        <w:t xml:space="preserve">Looking ahead, our priority is replicating the Brasília success model across Brazil’s 27 states. By embedding ourselves within the Teacher Secondary ecosystem – not just as vendors but as strategic partners in educational transformation – we position our brand to lead Brazil's secondary education evolution. The data from Brasília is clear: when you empower Teacher Secondary professionals with tools that work for their specific context, you don't just sell products; you shape the future of education in Brazil.</w:t>
      </w:r>
    </w:p>
    <w:bookmarkStart w:id="26" w:name="Xcf8c465a0340756c75c2046aa28a24b3f1eb0e9"/>
    <w:p>
      <w:pPr>
        <w:pStyle w:val="Heading3"/>
      </w:pPr>
      <w:r>
        <w:t xml:space="preserve">Appendix: Key Performance Indicators (Brasília)</w:t>
      </w:r>
    </w:p>
    <w:p>
      <w:pPr>
        <w:numPr>
          <w:ilvl w:val="0"/>
          <w:numId w:val="1004"/>
        </w:numPr>
        <w:pStyle w:val="Compact"/>
      </w:pPr>
      <w:r>
        <w:rPr>
          <w:bCs/>
          <w:b/>
        </w:rPr>
        <w:t xml:space="preserve">Market Share:</w:t>
      </w:r>
      <w:r>
        <w:t xml:space="preserve"> </w:t>
      </w:r>
      <w:r>
        <w:t xml:space="preserve">28% (up from 19% YoY)</w:t>
      </w:r>
    </w:p>
    <w:p>
      <w:pPr>
        <w:numPr>
          <w:ilvl w:val="0"/>
          <w:numId w:val="1004"/>
        </w:numPr>
        <w:pStyle w:val="Compact"/>
      </w:pPr>
      <w:r>
        <w:rPr>
          <w:bCs/>
          <w:b/>
        </w:rPr>
        <w:t xml:space="preserve">Customer Retention Rate:</w:t>
      </w:r>
      <w:r>
        <w:t xml:space="preserve"> </w:t>
      </w:r>
      <w:r>
        <w:t xml:space="preserve">89%</w:t>
      </w:r>
    </w:p>
    <w:p>
      <w:pPr>
        <w:numPr>
          <w:ilvl w:val="0"/>
          <w:numId w:val="1004"/>
        </w:numPr>
        <w:pStyle w:val="Compact"/>
      </w:pPr>
      <w:r>
        <w:rPr>
          <w:bCs/>
          <w:b/>
        </w:rPr>
        <w:t xml:space="preserve">Average Deal Size:</w:t>
      </w:r>
      <w:r>
        <w:t xml:space="preserve"> </w:t>
      </w:r>
      <w:r>
        <w:t xml:space="preserve">R$ 3,200 (vs. industry avg: R$ 2,450)</w:t>
      </w:r>
    </w:p>
    <w:p>
      <w:pPr>
        <w:numPr>
          <w:ilvl w:val="0"/>
          <w:numId w:val="1004"/>
        </w:numPr>
        <w:pStyle w:val="Compact"/>
      </w:pPr>
      <w:r>
        <w:rPr>
          <w:bCs/>
          <w:b/>
        </w:rPr>
        <w:t xml:space="preserve">Pipeline Value (Q4):</w:t>
      </w:r>
      <w:r>
        <w:t xml:space="preserve"> </w:t>
      </w:r>
      <w:r>
        <w:t xml:space="preserve">R$ 6.1M – including commitments from Brasília's Education Secretary for citywide rollout.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Brazil Brasília Market</dc:title>
  <dc:creator/>
  <dc:language>en</dc:language>
  <cp:keywords/>
  <dcterms:created xsi:type="dcterms:W3CDTF">2026-07-23T17:24:40Z</dcterms:created>
  <dcterms:modified xsi:type="dcterms:W3CDTF">2026-07-23T17:24:40Z</dcterms:modified>
</cp:coreProperties>
</file>

<file path=docProps/custom.xml><?xml version="1.0" encoding="utf-8"?>
<Properties xmlns="http://schemas.openxmlformats.org/officeDocument/2006/custom-properties" xmlns:vt="http://schemas.openxmlformats.org/officeDocument/2006/docPropsVTypes"/>
</file>