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c386abbd32181a182f29489df8fc258dcecdb16"/>
    <w:p>
      <w:pPr>
        <w:pStyle w:val="Heading1"/>
      </w:pPr>
      <w:r>
        <w:t xml:space="preserve">2023 Q4 Sales Report: Teacher Secondary Programs - Brazil Rio de Janeiro</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National Education Solutions Division</w:t>
      </w:r>
      <w:r>
        <w:br/>
      </w:r>
      <w:r>
        <w:rPr>
          <w:bCs/>
          <w:b/>
        </w:rPr>
        <w:t xml:space="preserve">Prepared By:</w:t>
      </w:r>
      <w:r>
        <w:t xml:space="preserve"> </w:t>
      </w:r>
      <w:r>
        <w:t xml:space="preserve">Regional Sales Analytics Team, Rio de Janeiro Office</w:t>
      </w:r>
    </w:p>
    <w:bookmarkStart w:id="20" w:name="i.-executive-summary"/>
    <w:p>
      <w:pPr>
        <w:pStyle w:val="Heading2"/>
      </w:pPr>
      <w:r>
        <w:t xml:space="preserve">I. Executive Summary</w:t>
      </w:r>
    </w:p>
    <w:p>
      <w:pPr>
        <w:pStyle w:val="FirstParagraph"/>
      </w:pPr>
      <w:r>
        <w:t xml:space="preserve">This comprehensive Sales Report details the performance of our Teacher Secondary training programs across Brazil's Rio de Janeiro state during the fourth quarter of 2023. The report confirms a significant 37% year-over-year growth in enrollment for Teacher Secondary certification courses, totaling 1,482 new educators trained – a milestone reflecting Rio de Janeiro's strategic importance in our national education expansion. This surge directly aligns with Brazil's National Education Plan (PNE) 2021-2030 goals and the State Government of Rio de Janeiro's recent mandate to upskill 5,000 secondary school teachers by Q3 2024. The success underscores our tailored approach to Teacher Secondary program delivery in this critical market.</w:t>
      </w:r>
    </w:p>
    <w:bookmarkEnd w:id="20"/>
    <w:bookmarkStart w:id="21" w:name="ii.-sales-performance-highlights-q4-2023"/>
    <w:p>
      <w:pPr>
        <w:pStyle w:val="Heading2"/>
      </w:pPr>
      <w:r>
        <w:t xml:space="preserve">II. Sales Performance Highlights (Q4 2023)</w:t>
      </w:r>
    </w:p>
    <w:p>
      <w:pPr>
        <w:pStyle w:val="FirstParagraph"/>
      </w:pPr>
      <w:r>
        <w:t xml:space="preserve">Program Type</w:t>
      </w:r>
    </w:p>
    <w:p>
      <w:pPr>
        <w:pStyle w:val="BodyText"/>
      </w:pPr>
      <w:r>
        <w:t xml:space="preserve">Enrollments (Q4)</w:t>
      </w:r>
    </w:p>
    <w:p>
      <w:pPr>
        <w:pStyle w:val="BodyText"/>
      </w:pPr>
      <w:r>
        <w:t xml:space="preserve">YoY Growth</w:t>
      </w:r>
    </w:p>
    <w:p>
      <w:pPr>
        <w:pStyle w:val="BodyText"/>
      </w:pPr>
      <w:r>
        <w:t xml:space="preserve">% of Total Rio de Janeiro Sales</w:t>
      </w:r>
    </w:p>
    <w:p>
      <w:pPr>
        <w:pStyle w:val="BodyText"/>
      </w:pPr>
      <w:r>
        <w:t xml:space="preserve">Teacher Secondary Core Certification</w:t>
      </w:r>
    </w:p>
    <w:p>
      <w:pPr>
        <w:pStyle w:val="BodyText"/>
      </w:pPr>
      <w:r>
        <w:t xml:space="preserve">927</w:t>
      </w:r>
    </w:p>
    <w:p>
      <w:pPr>
        <w:pStyle w:val="BodyText"/>
      </w:pPr>
      <w:r>
        <w:t xml:space="preserve">+41%</w:t>
      </w:r>
    </w:p>
    <w:p>
      <w:pPr>
        <w:pStyle w:val="BodyText"/>
      </w:pPr>
      <w:r>
        <w:t xml:space="preserve">62.5%</w:t>
      </w:r>
    </w:p>
    <w:p>
      <w:pPr>
        <w:pStyle w:val="BodyText"/>
      </w:pPr>
      <w:r>
        <w:t xml:space="preserve">Specialized Subject Modules (Math/Science)</w:t>
      </w:r>
    </w:p>
    <w:p>
      <w:pPr>
        <w:pStyle w:val="BodyText"/>
      </w:pPr>
      <w:r>
        <w:t xml:space="preserve">385</w:t>
      </w:r>
    </w:p>
    <w:p>
      <w:pPr>
        <w:pStyle w:val="BodyText"/>
      </w:pPr>
      <w:r>
        <w:t xml:space="preserve">+29%</w:t>
      </w:r>
    </w:p>
    <w:p>
      <w:pPr>
        <w:pStyle w:val="BodyText"/>
      </w:pPr>
      <w:r>
        <w:t xml:space="preserve">26.0%</w:t>
      </w:r>
    </w:p>
    <w:p>
      <w:pPr>
        <w:pStyle w:val="BodyText"/>
      </w:pPr>
      <w:r>
        <w:t xml:space="preserve">Digital Pedagogy Integration</w:t>
      </w:r>
    </w:p>
    <w:p>
      <w:pPr>
        <w:pStyle w:val="BodyText"/>
      </w:pPr>
      <w:r>
        <w:t xml:space="preserve">170</w:t>
      </w:r>
    </w:p>
    <w:p>
      <w:pPr>
        <w:pStyle w:val="BodyText"/>
      </w:pPr>
      <w:r>
        <w:t xml:space="preserve">+63%</w:t>
      </w:r>
    </w:p>
    <w:p>
      <w:pPr>
        <w:pStyle w:val="BodyText"/>
      </w:pPr>
      <w:r>
        <w:br/>
      </w:r>
    </w:p>
    <w:p>
      <w:pPr>
        <w:pStyle w:val="BodyText"/>
      </w:pPr>
      <w:r>
        <w:t xml:space="preserve">Notable achievements include:</w:t>
      </w:r>
      <w:r>
        <w:t xml:space="preserve"> </w:t>
      </w:r>
      <w:r>
        <w:t xml:space="preserve">- A 52% increase in contracts from Rio de Janeiro state public school networks (including the renowned São Cristóvão Municipal Network)</w:t>
      </w:r>
      <w:r>
        <w:t xml:space="preserve"> </w:t>
      </w:r>
      <w:r>
        <w:t xml:space="preserve">- First-time partnership with Rio's Department of Education (SEE-RJ) for a 1,000-teacher statewide rollout</w:t>
      </w:r>
      <w:r>
        <w:t xml:space="preserve"> </w:t>
      </w:r>
      <w:r>
        <w:t xml:space="preserve">- Highest conversion rate in Brazil at 87% from initial consultations to enrollment</w:t>
      </w:r>
    </w:p>
    <w:bookmarkEnd w:id="21"/>
    <w:bookmarkStart w:id="22" w:name="X20e2fcdfe807f25671672200e9c394aaf3b0616"/>
    <w:p>
      <w:pPr>
        <w:pStyle w:val="Heading2"/>
      </w:pPr>
      <w:r>
        <w:t xml:space="preserve">III. Market Context: Teacher Secondary Demand in Brazil Rio de Janeiro</w:t>
      </w:r>
    </w:p>
    <w:p>
      <w:pPr>
        <w:pStyle w:val="FirstParagraph"/>
      </w:pPr>
      <w:r>
        <w:t xml:space="preserve">Rio de Janeiro's education landscape presents unique opportunities for Teacher Secondary programs. With 34,000 secondary school teachers across 1,857 public institutions (INEP 2023 data), the state faces acute shortages in STEM and bilingual teaching capacity – precisely where our Teacher Secondary curriculum excels. The recent Rio de Janeiro State Education Law (Law No. 6,985/2023) now requires all new secondary teachers to complete specialized certification within their first year, directly driving demand for our programs.</w:t>
      </w:r>
    </w:p>
    <w:p>
      <w:pPr>
        <w:pStyle w:val="BodyText"/>
      </w:pPr>
      <w:r>
        <w:t xml:space="preserve">Our analysis reveals that Rio's market differs significantly from other Brazilian states in three key ways:</w:t>
      </w:r>
    </w:p>
    <w:p>
      <w:pPr>
        <w:numPr>
          <w:ilvl w:val="0"/>
          <w:numId w:val="1001"/>
        </w:numPr>
        <w:pStyle w:val="Compact"/>
      </w:pPr>
      <w:r>
        <w:rPr>
          <w:bCs/>
          <w:b/>
        </w:rPr>
        <w:t xml:space="preserve">Urban-Rural Divide:</w:t>
      </w:r>
      <w:r>
        <w:t xml:space="preserve"> </w:t>
      </w:r>
      <w:r>
        <w:t xml:space="preserve">68% of enrollments came from Rio city (32% from periphery districts like Santa Cruz and Campo Grande)</w:t>
      </w:r>
    </w:p>
    <w:p>
      <w:pPr>
        <w:numPr>
          <w:ilvl w:val="0"/>
          <w:numId w:val="1001"/>
        </w:numPr>
        <w:pStyle w:val="Compact"/>
      </w:pPr>
      <w:r>
        <w:rPr>
          <w:bCs/>
          <w:b/>
        </w:rPr>
        <w:t xml:space="preserve">Government Mandates:</w:t>
      </w:r>
      <w:r>
        <w:t xml:space="preserve"> </w:t>
      </w:r>
      <w:r>
        <w:t xml:space="preserve">SEE-RJ's "Escola + Digital" initiative created immediate need for our digital pedagogy modules</w:t>
      </w:r>
    </w:p>
    <w:p>
      <w:pPr>
        <w:numPr>
          <w:ilvl w:val="0"/>
          <w:numId w:val="1001"/>
        </w:numPr>
        <w:pStyle w:val="Compact"/>
      </w:pPr>
      <w:r>
        <w:rPr>
          <w:bCs/>
          <w:b/>
        </w:rPr>
        <w:t xml:space="preserve">Cultural Alignment:</w:t>
      </w:r>
      <w:r>
        <w:t xml:space="preserve"> </w:t>
      </w:r>
      <w:r>
        <w:t xml:space="preserve">Programs incorporating Brazilian educational philosophy (e.g., Paulo Freire methodology) achieved 35% higher retention</w:t>
      </w:r>
    </w:p>
    <w:bookmarkEnd w:id="22"/>
    <w:bookmarkStart w:id="23" w:name="iv.-regional-sales-strategy-analysis"/>
    <w:p>
      <w:pPr>
        <w:pStyle w:val="Heading2"/>
      </w:pPr>
      <w:r>
        <w:t xml:space="preserve">IV. Regional Sales Strategy Analysis</w:t>
      </w:r>
    </w:p>
    <w:p>
      <w:pPr>
        <w:pStyle w:val="FirstParagraph"/>
      </w:pPr>
      <w:r>
        <w:t xml:space="preserve">The success of our Teacher Secondary programs in Brazil Rio de Janeiro stems from hyper-localized execution:</w:t>
      </w:r>
    </w:p>
    <w:p>
      <w:pPr>
        <w:numPr>
          <w:ilvl w:val="0"/>
          <w:numId w:val="1002"/>
        </w:numPr>
        <w:pStyle w:val="Compact"/>
      </w:pPr>
      <w:r>
        <w:rPr>
          <w:bCs/>
          <w:b/>
        </w:rPr>
        <w:t xml:space="preserve">Community Engagement:</w:t>
      </w:r>
      <w:r>
        <w:t xml:space="preserve"> </w:t>
      </w:r>
      <w:r>
        <w:t xml:space="preserve">Partnering with favela-based NGOs (e.g., Instituto Estar) to offer subsidized courses in Complexo do Alemão and Rocinha, increasing access by 28% among low-income teachers</w:t>
      </w:r>
    </w:p>
    <w:p>
      <w:pPr>
        <w:numPr>
          <w:ilvl w:val="0"/>
          <w:numId w:val="1002"/>
        </w:numPr>
        <w:pStyle w:val="Compact"/>
      </w:pPr>
      <w:r>
        <w:rPr>
          <w:bCs/>
          <w:b/>
        </w:rPr>
        <w:t xml:space="preserve">Government Liaison:</w:t>
      </w:r>
      <w:r>
        <w:t xml:space="preserve"> </w:t>
      </w:r>
      <w:r>
        <w:t xml:space="preserve">Dedicated SEE-RJ account manager securing 45% of Q4 sales through official state procurement channels</w:t>
      </w:r>
    </w:p>
    <w:p>
      <w:pPr>
        <w:numPr>
          <w:ilvl w:val="0"/>
          <w:numId w:val="1002"/>
        </w:numPr>
        <w:pStyle w:val="Compact"/>
      </w:pPr>
      <w:r>
        <w:rPr>
          <w:bCs/>
          <w:b/>
        </w:rPr>
        <w:t xml:space="preserve">Cultural Adaptation:</w:t>
      </w:r>
      <w:r>
        <w:t xml:space="preserve"> </w:t>
      </w:r>
      <w:r>
        <w:t xml:space="preserve">All training materials translated into Portuguese with Rio-specific case studies (e.g., "Applying Project-Based Learning in Maracanã Schools")</w:t>
      </w:r>
    </w:p>
    <w:p>
      <w:pPr>
        <w:pStyle w:val="FirstParagraph"/>
      </w:pPr>
      <w:r>
        <w:t xml:space="preserve">However, we identified two critical challenges requiring immediate action:</w:t>
      </w:r>
    </w:p>
    <w:p>
      <w:pPr>
        <w:numPr>
          <w:ilvl w:val="0"/>
          <w:numId w:val="1003"/>
        </w:numPr>
        <w:pStyle w:val="Compact"/>
      </w:pPr>
      <w:r>
        <w:rPr>
          <w:iCs/>
          <w:i/>
        </w:rPr>
        <w:t xml:space="preserve">Logistical Hurdles:</w:t>
      </w:r>
      <w:r>
        <w:t xml:space="preserve"> </w:t>
      </w:r>
      <w:r>
        <w:t xml:space="preserve">High transportation costs in peripheral areas led to 12% absenteeism during in-person sessions (addressed by introducing hybrid learning options)</w:t>
      </w:r>
    </w:p>
    <w:p>
      <w:pPr>
        <w:numPr>
          <w:ilvl w:val="0"/>
          <w:numId w:val="1003"/>
        </w:numPr>
        <w:pStyle w:val="Compact"/>
      </w:pPr>
      <w:r>
        <w:rPr>
          <w:iCs/>
          <w:i/>
        </w:rPr>
        <w:t xml:space="preserve">Certification Recognition:</w:t>
      </w:r>
      <w:r>
        <w:t xml:space="preserve"> </w:t>
      </w:r>
      <w:r>
        <w:t xml:space="preserve">Some municipal networks still require additional state-level validation, causing 7-day enrollment delays (resolved via new SEE-RJ MOU signed October 2023)</w:t>
      </w:r>
    </w:p>
    <w:bookmarkEnd w:id="23"/>
    <w:bookmarkStart w:id="24" w:name="v.-financial-impact-roi"/>
    <w:p>
      <w:pPr>
        <w:pStyle w:val="Heading2"/>
      </w:pPr>
      <w:r>
        <w:t xml:space="preserve">V. Financial Impact &amp; ROI</w:t>
      </w:r>
    </w:p>
    <w:p>
      <w:pPr>
        <w:pStyle w:val="FirstParagraph"/>
      </w:pPr>
      <w:r>
        <w:t xml:space="preserve">The Teacher Secondary initiative generated R$18.7 million in Q4 revenue for our Rio de Janeiro operations – a 49% increase over Q3. This represents:</w:t>
      </w:r>
    </w:p>
    <w:p>
      <w:pPr>
        <w:numPr>
          <w:ilvl w:val="0"/>
          <w:numId w:val="1004"/>
        </w:numPr>
        <w:pStyle w:val="Compact"/>
      </w:pPr>
      <w:r>
        <w:t xml:space="preserve">89% contribution to regional sales targets</w:t>
      </w:r>
    </w:p>
    <w:p>
      <w:pPr>
        <w:numPr>
          <w:ilvl w:val="0"/>
          <w:numId w:val="1004"/>
        </w:numPr>
        <w:pStyle w:val="Compact"/>
      </w:pPr>
      <w:r>
        <w:t xml:space="preserve">22% lower customer acquisition cost compared to national average (due to strong government partnerships)</w:t>
      </w:r>
    </w:p>
    <w:p>
      <w:pPr>
        <w:numPr>
          <w:ilvl w:val="0"/>
          <w:numId w:val="1004"/>
        </w:numPr>
        <w:pStyle w:val="Compact"/>
      </w:pPr>
      <w:r>
        <w:t xml:space="preserve">R$6.4 million net profit, exceeding projections by 17%</w:t>
      </w:r>
    </w:p>
    <w:p>
      <w:pPr>
        <w:pStyle w:val="FirstParagraph"/>
      </w:pPr>
      <w:r>
        <w:t xml:space="preserve">More significantly, our Teacher Secondary programs directly support Rio de Janeiro's economic development goals. Each certified teacher increases student graduation rates by 8.3% (per UFRJ study), generating R$27,000 in lifetime tax revenue per graduate – creating a powerful positive cycle for Brazil's education economy.</w:t>
      </w:r>
    </w:p>
    <w:bookmarkEnd w:id="24"/>
    <w:bookmarkStart w:id="25" w:name="vi.-competitive-landscape"/>
    <w:p>
      <w:pPr>
        <w:pStyle w:val="Heading2"/>
      </w:pPr>
      <w:r>
        <w:t xml:space="preserve">VI. Competitive Landscape</w:t>
      </w:r>
    </w:p>
    <w:p>
      <w:pPr>
        <w:pStyle w:val="FirstParagraph"/>
      </w:pPr>
      <w:r>
        <w:t xml:space="preserve">Rio de Janeiro's Teacher Secondary market features intense competition, but our unique positioning has secured market leadership: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(Rio)</w:t>
            </w:r>
          </w:p>
        </w:tc>
        <w:tc>
          <w:tcPr/>
          <w:p>
            <w:pPr>
              <w:pStyle w:val="Compact"/>
              <w:jc w:val="left"/>
            </w:pPr>
            <w:r>
              <w:t xml:space="preserve">We Outperform By</w:t>
            </w:r>
          </w:p>
        </w:tc>
      </w:tr>
      <w:tr>
        <w:tc>
          <w:tcPr/>
          <w:p>
            <w:pPr>
              <w:pStyle w:val="Compact"/>
              <w:jc w:val="left"/>
            </w:pPr>
            <w:r>
              <w:t xml:space="preserve">National Education Institute (INE)</w:t>
            </w:r>
          </w:p>
        </w:tc>
        <w:tc>
          <w:tcPr/>
          <w:p>
            <w:pPr>
              <w:pStyle w:val="Compact"/>
              <w:jc w:val="left"/>
            </w:pPr>
            <w:r>
              <w:t xml:space="preserve">29%</w:t>
            </w:r>
          </w:p>
        </w:tc>
        <w:tc>
          <w:tcPr/>
          <w:p>
            <w:pPr>
              <w:pStyle w:val="Compact"/>
              <w:jc w:val="left"/>
            </w:pPr>
            <w:r>
              <w:t xml:space="preserve">Certification Speed (+3 weeks), Local Content Relevance (+42%)</w:t>
            </w:r>
          </w:p>
        </w:tc>
      </w:tr>
      <w:tr>
        <w:tc>
          <w:tcPr/>
          <w:p>
            <w:pPr>
              <w:pStyle w:val="Compact"/>
              <w:jc w:val="left"/>
            </w:pPr>
            <w:r>
              <w:t xml:space="preserve">Educa Brasil Network</w:t>
            </w:r>
          </w:p>
        </w:tc>
        <w:tc>
          <w:tcPr/>
          <w:p>
            <w:pPr>
              <w:pStyle w:val="Compact"/>
              <w:jc w:val="left"/>
            </w:pPr>
            <w:r>
              <w:t xml:space="preserve">24%</w:t>
            </w:r>
          </w:p>
        </w:tc>
        <w:tc>
          <w:tcPr/>
          <w:p>
            <w:pPr>
              <w:pStyle w:val="Compact"/>
              <w:jc w:val="left"/>
            </w:pPr>
            <w:r>
              <w:t xml:space="preserve">Digital Integration Depth (50% more modules), SEE-RJ Partnership Rate (87% vs. 61%)</w:t>
            </w:r>
          </w:p>
        </w:tc>
      </w:tr>
    </w:tbl>
    <w:p>
      <w:pPr>
        <w:pStyle w:val="BodyText"/>
      </w:pPr>
      <w:r>
        <w:t xml:space="preserve">Our edge comes from embedding Brazilian educational context into every Teacher Secondary course – something competitors' generic curricula fail to deliver.</w:t>
      </w:r>
    </w:p>
    <w:bookmarkEnd w:id="25"/>
    <w:bookmarkStart w:id="26" w:name="Xe0ae87f1fa8b714656e38430b862365d5584e49"/>
    <w:p>
      <w:pPr>
        <w:pStyle w:val="Heading2"/>
      </w:pPr>
      <w:r>
        <w:t xml:space="preserve">VII. Strategic Recommendations for Q1 2024</w:t>
      </w:r>
    </w:p>
    <w:p>
      <w:pPr>
        <w:numPr>
          <w:ilvl w:val="0"/>
          <w:numId w:val="1005"/>
        </w:numPr>
        <w:pStyle w:val="Compact"/>
      </w:pPr>
      <w:r>
        <w:rPr>
          <w:bCs/>
          <w:b/>
        </w:rPr>
        <w:t xml:space="preserve">Expand Digital Access:</w:t>
      </w:r>
      <w:r>
        <w:t xml:space="preserve"> </w:t>
      </w:r>
      <w:r>
        <w:t xml:space="preserve">Launch mobile-first Teacher Secondary modules targeting favela communities (projected 35% enrollment growth)</w:t>
      </w:r>
    </w:p>
    <w:p>
      <w:pPr>
        <w:numPr>
          <w:ilvl w:val="0"/>
          <w:numId w:val="1005"/>
        </w:numPr>
        <w:pStyle w:val="Compact"/>
      </w:pPr>
      <w:r>
        <w:rPr>
          <w:bCs/>
          <w:b/>
        </w:rPr>
        <w:t xml:space="preserve">Strengthen SEE-RJ Alliance:</w:t>
      </w:r>
      <w:r>
        <w:t xml:space="preserve"> </w:t>
      </w:r>
      <w:r>
        <w:t xml:space="preserve">Co-develop a state-wide "Teacher Secondary Excellence Certification" to replace fragmented local requirements</w:t>
      </w:r>
    </w:p>
    <w:p>
      <w:pPr>
        <w:numPr>
          <w:ilvl w:val="0"/>
          <w:numId w:val="1005"/>
        </w:numPr>
        <w:pStyle w:val="Compact"/>
      </w:pPr>
      <w:r>
        <w:rPr>
          <w:bCs/>
          <w:b/>
        </w:rPr>
        <w:t xml:space="preserve">Prioritize STEM Partnerships:</w:t>
      </w:r>
      <w:r>
        <w:t xml:space="preserve"> </w:t>
      </w:r>
      <w:r>
        <w:t xml:space="preserve">Target Rio's 180 public schools with engineering/tech focus for specialized modules (addressing the state's critical STEM teacher shortage)</w:t>
      </w:r>
    </w:p>
    <w:p>
      <w:pPr>
        <w:numPr>
          <w:ilvl w:val="0"/>
          <w:numId w:val="1005"/>
        </w:numPr>
        <w:pStyle w:val="Compact"/>
      </w:pPr>
      <w:r>
        <w:rPr>
          <w:bCs/>
          <w:b/>
        </w:rPr>
        <w:t xml:space="preserve">Community Ambassadors Program:</w:t>
      </w:r>
      <w:r>
        <w:t xml:space="preserve"> </w:t>
      </w:r>
      <w:r>
        <w:t xml:space="preserve">Recruit 200 certified teachers as local sales advocates in high-demand neighborhoods</w:t>
      </w:r>
    </w:p>
    <w:bookmarkEnd w:id="26"/>
    <w:bookmarkStart w:id="27" w:name="viii.-conclusion"/>
    <w:p>
      <w:pPr>
        <w:pStyle w:val="Heading2"/>
      </w:pPr>
      <w:r>
        <w:t xml:space="preserve">VIII. Conclusion</w:t>
      </w:r>
    </w:p>
    <w:p>
      <w:pPr>
        <w:pStyle w:val="FirstParagraph"/>
      </w:pPr>
      <w:r>
        <w:t xml:space="preserve">The 2023 Q4 Sales Report confirms that our Teacher Secondary programs are not merely meeting market demand in Brazil Rio de Janeiro – they are actively shaping the state's educational future. By embedding cultural context, government alignment, and community access into every aspect of our Teacher Secondary delivery model, we've transformed from a service provider into an indispensable education ecosystem partner for Rio. As Brazil accelerates its national education reform efforts under President Lula's Plan for Education (PNE), Rio de Janeiro remains our flagship market. Our success here proves that when educational solutions are deeply rooted in local context – as with Teacher Secondary programs across Brazil Rio de Janeiro – they don't just sell; they transform communities and fuel sustainable development.</w:t>
      </w:r>
    </w:p>
    <w:p>
      <w:pPr>
        <w:pStyle w:val="BodyText"/>
      </w:pPr>
      <w:r>
        <w:rPr>
          <w:bCs/>
          <w:b/>
        </w:rPr>
        <w:t xml:space="preserve">Key Performance Metric:</w:t>
      </w:r>
      <w:r>
        <w:t xml:space="preserve"> </w:t>
      </w:r>
      <w:r>
        <w:t xml:space="preserve">72% of Teacher Secondary graduates from Rio de Janeiro state reported "immediate application" of skills in their classrooms (vs. national average 58%)</w:t>
      </w:r>
    </w:p>
    <w:p>
      <w:r>
        <w:pict>
          <v:rect style="width:0;height:1.5pt" o:hralign="center" o:hrstd="t" o:hr="t"/>
        </w:pict>
      </w:r>
    </w:p>
    <w:p>
      <w:pPr>
        <w:pStyle w:val="FirstParagraph"/>
      </w:pPr>
      <w:r>
        <w:rPr>
          <w:iCs/>
          <w:i/>
        </w:rPr>
        <w:t xml:space="preserve">Sales Report generated for Brazil Rio de Janeiro regional operations. Data validated by Instituto Nacional de Estudos e Pesquisas Educacionais (INEP). All figures converted to USD equivalent where necessary.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Teacher Secondary Programs - Brazil Rio de Janeiro</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