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Canada</w:t>
      </w:r>
      <w:r>
        <w:t xml:space="preserve"> </w:t>
      </w:r>
      <w:r>
        <w:t xml:space="preserve">Toronto</w:t>
      </w:r>
      <w:r>
        <w:t xml:space="preserve"> </w:t>
      </w:r>
      <w:r>
        <w:t xml:space="preserve">Market</w:t>
      </w:r>
      <w:r>
        <w:t xml:space="preserve"> </w:t>
      </w:r>
      <w:r>
        <w:t xml:space="preserve">Analysis</w:t>
      </w:r>
    </w:p>
    <w:bookmarkStart w:id="30" w:name="X740af0cca028ed98304e4d6e5559db6306a57b0"/>
    <w:p>
      <w:pPr>
        <w:pStyle w:val="Heading1"/>
      </w:pPr>
      <w:r>
        <w:t xml:space="preserve">SALES REPORT FOR TEACHER SECONDARY EDUCATION PRODUCTS &amp; SERVICES IN CANADA TORONTO</w:t>
      </w:r>
    </w:p>
    <w:p>
      <w:pPr>
        <w:pStyle w:val="FirstParagraph"/>
      </w:pPr>
      <w:r>
        <w:t xml:space="preserve">Q3 2023 Market Performance and Strategic Outlook</w:t>
      </w:r>
    </w:p>
    <w:bookmarkStart w:id="20" w:name="executive-summary"/>
    <w:p>
      <w:pPr>
        <w:pStyle w:val="Heading2"/>
      </w:pPr>
      <w:r>
        <w:t xml:space="preserve">Executive Summary</w:t>
      </w:r>
    </w:p>
    <w:p>
      <w:pPr>
        <w:pStyle w:val="FirstParagraph"/>
      </w:pPr>
      <w:r>
        <w:t xml:space="preserve">This comprehensive Sales Report details the performance of educational product and service offerings targeting Teacher Secondary professionals across Toronto's public and private school systems. As the largest metropolitan education market in Canada, Toronto presents unique opportunities and challenges for vendors serving secondary educators (grades 7-12). Our Q3 2023 analysis reveals a 14% year-over-year increase in sales volume specifically to Teacher Secondary clients, driven by curriculum-aligned digital tools and professional development packages. This report provides critical insights for optimizing our Toronto-focused strategy while addressing the distinct needs of Ontario's secondary teaching community.</w:t>
      </w:r>
    </w:p>
    <w:bookmarkEnd w:id="20"/>
    <w:bookmarkStart w:id="21" w:name="X320eb723d691053dad60ee81970e9bac58c5511"/>
    <w:p>
      <w:pPr>
        <w:pStyle w:val="Heading2"/>
      </w:pPr>
      <w:r>
        <w:t xml:space="preserve">Market Context: Canada Toronto Secondary Education Landscape</w:t>
      </w:r>
    </w:p>
    <w:p>
      <w:pPr>
        <w:pStyle w:val="FirstParagraph"/>
      </w:pPr>
      <w:r>
        <w:t xml:space="preserve">Ontario's Ministry of Education mandates a rigorous secondary curriculum that emphasizes critical thinking and digital literacy. In Toronto alone, the Toronto District School Board (TDSB), York Region District School Board (YRDSB), and numerous private institutions employ over 42,000 secondary teachers. These educators face unprecedented challenges including rising class sizes (averaging 28 students per class in TDSB schools), limited technology budgets, and evolving expectations around student mental health support. Our data confirms that 76% of Teacher Secondary professionals report spending personal funds on classroom resources – a critical pain point we address through our subscription-based platforms.</w:t>
      </w:r>
    </w:p>
    <w:bookmarkEnd w:id="21"/>
    <w:bookmarkStart w:id="22" w:name="q3-2023-sales-performance-toronto-focus"/>
    <w:p>
      <w:pPr>
        <w:pStyle w:val="Heading2"/>
      </w:pPr>
      <w:r>
        <w:t xml:space="preserve">Q3 2023 Sales Performance: Toronto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Sales (CAD)</w:t>
            </w:r>
          </w:p>
        </w:tc>
        <w:tc>
          <w:tcPr/>
          <w:p>
            <w:pPr>
              <w:pStyle w:val="Compact"/>
              <w:jc w:val="left"/>
            </w:pPr>
            <w:r>
              <w:t xml:space="preserve">YoY Growth</w:t>
            </w:r>
          </w:p>
        </w:tc>
        <w:tc>
          <w:tcPr/>
          <w:p>
            <w:pPr>
              <w:pStyle w:val="Compact"/>
              <w:jc w:val="left"/>
            </w:pPr>
            <w:r>
              <w:t xml:space="preserve">Toronto Market Share</w:t>
            </w:r>
          </w:p>
        </w:tc>
      </w:tr>
      <w:tr>
        <w:tc>
          <w:tcPr/>
          <w:p>
            <w:pPr>
              <w:pStyle w:val="Compact"/>
              <w:jc w:val="left"/>
            </w:pPr>
            <w:r>
              <w:t xml:space="preserve">Digital Curriculum Tools</w:t>
            </w:r>
          </w:p>
        </w:tc>
        <w:tc>
          <w:tcPr/>
          <w:p>
            <w:pPr>
              <w:pStyle w:val="Compact"/>
              <w:jc w:val="left"/>
            </w:pPr>
            <w:r>
              <w:t xml:space="preserve">$245,000</w:t>
            </w:r>
          </w:p>
        </w:tc>
        <w:tc>
          <w:tcPr/>
          <w:p>
            <w:pPr>
              <w:pStyle w:val="Compact"/>
              <w:jc w:val="left"/>
            </w:pPr>
            <w:r>
              <w:t xml:space="preserve">22%</w:t>
            </w:r>
          </w:p>
        </w:tc>
        <w:tc>
          <w:tcPr/>
          <w:p>
            <w:pPr>
              <w:pStyle w:val="Compact"/>
              <w:jc w:val="left"/>
            </w:pPr>
            <w:r>
              <w:t xml:space="preserve">38% (vs. 31% Q3 2022)</w:t>
            </w:r>
          </w:p>
        </w:tc>
      </w:tr>
      <w:tr>
        <w:tc>
          <w:tcPr/>
          <w:p>
            <w:pPr>
              <w:pStyle w:val="Compact"/>
              <w:jc w:val="left"/>
            </w:pPr>
            <w:r>
              <w:t xml:space="preserve">Teacher Professional Development</w:t>
            </w:r>
          </w:p>
        </w:tc>
        <w:tc>
          <w:tcPr/>
          <w:p>
            <w:pPr>
              <w:pStyle w:val="Compact"/>
              <w:jc w:val="left"/>
            </w:pPr>
            <w:r>
              <w:t xml:space="preserve">$189,500</w:t>
            </w:r>
          </w:p>
        </w:tc>
        <w:tc>
          <w:tcPr/>
          <w:p>
            <w:pPr>
              <w:pStyle w:val="Compact"/>
              <w:jc w:val="left"/>
            </w:pPr>
            <w:r>
              <w:t xml:space="preserve">17%</w:t>
            </w:r>
          </w:p>
        </w:tc>
        <w:tc>
          <w:tcPr/>
          <w:p>
            <w:pPr>
              <w:pStyle w:val="Compact"/>
              <w:jc w:val="left"/>
            </w:pPr>
            <w:r>
              <w:t xml:space="preserve">43% (vs. 36% Q3 2022)</w:t>
            </w:r>
          </w:p>
        </w:tc>
      </w:tr>
      <w:tr>
        <w:tc>
          <w:tcPr/>
          <w:p>
            <w:pPr>
              <w:pStyle w:val="Compact"/>
              <w:jc w:val="left"/>
            </w:pPr>
            <w:r>
              <w:t xml:space="preserve">Classroom Management Software</w:t>
            </w:r>
          </w:p>
        </w:tc>
        <w:tc>
          <w:tcPr/>
          <w:p>
            <w:pPr>
              <w:pStyle w:val="Compact"/>
              <w:jc w:val="left"/>
            </w:pPr>
            <w:r>
              <w:t xml:space="preserve">$157,800</w:t>
            </w:r>
          </w:p>
        </w:tc>
        <w:tc>
          <w:tcPr/>
          <w:p>
            <w:pPr>
              <w:pStyle w:val="Compact"/>
              <w:jc w:val="left"/>
            </w:pPr>
            <w:r>
              <w:t xml:space="preserve">9%</w:t>
            </w:r>
          </w:p>
        </w:tc>
        <w:tc>
          <w:tcPr/>
          <w:p>
            <w:pPr>
              <w:pStyle w:val="Compact"/>
              <w:jc w:val="left"/>
            </w:pPr>
            <w:r>
              <w:t xml:space="preserve">31% (vs. 27% Q3 2022)</w:t>
            </w:r>
          </w:p>
        </w:tc>
      </w:tr>
    </w:tbl>
    <w:p>
      <w:pPr>
        <w:pStyle w:val="BodyText"/>
      </w:pPr>
      <w:r>
        <w:rPr>
          <w:bCs/>
          <w:b/>
        </w:rPr>
        <w:t xml:space="preserve">Critical Insight:</w:t>
      </w:r>
      <w:r>
        <w:t xml:space="preserve"> </w:t>
      </w:r>
      <w:r>
        <w:t xml:space="preserve">The most significant growth occurred in curriculum-aligned digital tools, directly responding to Toronto Teacher Secondary needs for Ontario-specific resources. Our partnership with the TDSB's Digital Learning initiative contributed to a 35% increase in school board contracts. Notably, 68% of new Teacher Secondary clients were acquired through peer recommendations within Toronto's education community – highlighting the importance of educator trust networks in this market.</w:t>
      </w:r>
    </w:p>
    <w:bookmarkEnd w:id="22"/>
    <w:bookmarkStart w:id="23" w:name="Xe1588cccc4181395fa71be5206c5e70e63d473f"/>
    <w:p>
      <w:pPr>
        <w:pStyle w:val="Heading2"/>
      </w:pPr>
      <w:r>
        <w:t xml:space="preserve">Key Challenges Specific to Canada Toronto Market</w:t>
      </w:r>
    </w:p>
    <w:p>
      <w:pPr>
        <w:numPr>
          <w:ilvl w:val="0"/>
          <w:numId w:val="1001"/>
        </w:numPr>
        <w:pStyle w:val="Compact"/>
      </w:pPr>
      <w:r>
        <w:rPr>
          <w:bCs/>
          <w:b/>
        </w:rPr>
        <w:t xml:space="preserve">Budget Constraints:</w:t>
      </w:r>
      <w:r>
        <w:t xml:space="preserve"> </w:t>
      </w:r>
      <w:r>
        <w:t xml:space="preserve">Toronto school boards face 5% average budget reductions for instructional materials. Teacher Secondary professionals now require cost-effective solutions that deliver measurable classroom impact.</w:t>
      </w:r>
    </w:p>
    <w:p>
      <w:pPr>
        <w:numPr>
          <w:ilvl w:val="0"/>
          <w:numId w:val="1001"/>
        </w:numPr>
        <w:pStyle w:val="Compact"/>
      </w:pPr>
      <w:r>
        <w:rPr>
          <w:bCs/>
          <w:b/>
        </w:rPr>
        <w:t xml:space="preserve">Curriculum Alignment Imperative:</w:t>
      </w:r>
      <w:r>
        <w:t xml:space="preserve"> </w:t>
      </w:r>
      <w:r>
        <w:t xml:space="preserve">Ontario's revised curriculum (2023) prioritizes anti-racism and climate action. Our non-aligned products saw 40% slower adoption compared to curriculum-embedded tools.</w:t>
      </w:r>
    </w:p>
    <w:p>
      <w:pPr>
        <w:numPr>
          <w:ilvl w:val="0"/>
          <w:numId w:val="1001"/>
        </w:numPr>
        <w:pStyle w:val="Compact"/>
      </w:pPr>
      <w:r>
        <w:rPr>
          <w:bCs/>
          <w:b/>
        </w:rPr>
        <w:t xml:space="preserve">Digital Divide:</w:t>
      </w:r>
      <w:r>
        <w:t xml:space="preserve"> </w:t>
      </w:r>
      <w:r>
        <w:t xml:space="preserve">While 95% of Toronto schools have broadband, only 67% of Teacher Secondary respondents report consistent device access for students – impacting tool usability.</w:t>
      </w:r>
    </w:p>
    <w:p>
      <w:pPr>
        <w:numPr>
          <w:ilvl w:val="0"/>
          <w:numId w:val="1001"/>
        </w:numPr>
        <w:pStyle w:val="Compact"/>
      </w:pPr>
      <w:r>
        <w:rPr>
          <w:bCs/>
          <w:b/>
        </w:rPr>
        <w:t xml:space="preserve">Regulatory Compliance:</w:t>
      </w:r>
      <w:r>
        <w:t xml:space="preserve"> </w:t>
      </w:r>
      <w:r>
        <w:t xml:space="preserve">Ontario's Personal Health Information Protection Act (PHIPA) requires strict data handling. Non-compliant vendors lost 12 key Toronto school contracts in Q2 2023.</w:t>
      </w:r>
    </w:p>
    <w:bookmarkEnd w:id="23"/>
    <w:bookmarkStart w:id="27" w:name="Xb03a5ddee7933329f129f0e416cafaae4c89a4e"/>
    <w:p>
      <w:pPr>
        <w:pStyle w:val="Heading2"/>
      </w:pPr>
      <w:r>
        <w:t xml:space="preserve">Strategic Opportunities for Teacher Secondary Growth</w:t>
      </w:r>
    </w:p>
    <w:p>
      <w:pPr>
        <w:pStyle w:val="FirstParagraph"/>
      </w:pPr>
      <w:r>
        <w:t xml:space="preserve">Our analysis identifies three high-potential avenues for expanding our Canada Toronto market share:</w:t>
      </w:r>
    </w:p>
    <w:bookmarkStart w:id="24" w:name="ontario-curriculum-integration"/>
    <w:p>
      <w:pPr>
        <w:pStyle w:val="Heading3"/>
      </w:pPr>
      <w:r>
        <w:t xml:space="preserve">1. Ontario Curriculum Integration</w:t>
      </w:r>
    </w:p>
    <w:p>
      <w:pPr>
        <w:pStyle w:val="FirstParagraph"/>
      </w:pPr>
      <w:r>
        <w:t xml:space="preserve">We've launched "OntarioReady" bundles – 48 customizable lesson modules aligned with the new Science, Math and Social Studies curricula. Pilot programs in 15 Toronto schools showed a 79% increase in Teacher Secondary adoption rates compared to generic products. This directly addresses the #1 priority identified by Toronto secondary educators in our Q2 survey.</w:t>
      </w:r>
    </w:p>
    <w:bookmarkEnd w:id="24"/>
    <w:bookmarkStart w:id="25" w:name="mental-health-support-integration"/>
    <w:p>
      <w:pPr>
        <w:pStyle w:val="Heading3"/>
      </w:pPr>
      <w:r>
        <w:t xml:space="preserve">2. Mental Health Support Integration</w:t>
      </w:r>
    </w:p>
    <w:p>
      <w:pPr>
        <w:pStyle w:val="FirstParagraph"/>
      </w:pPr>
      <w:r>
        <w:t xml:space="preserve">With 64% of Toronto Teacher Secondary respondents citing student mental health as their top classroom challenge, we've developed "Wellness Toolkit" for educators. This includes digital resources for identifying anxiety triggers and classroom coping strategies – sold at 25% higher margins than standard products in Q3.</w:t>
      </w:r>
    </w:p>
    <w:bookmarkEnd w:id="25"/>
    <w:bookmarkStart w:id="26" w:name="toronto-teacher-ambassador-program"/>
    <w:p>
      <w:pPr>
        <w:pStyle w:val="Heading3"/>
      </w:pPr>
      <w:r>
        <w:t xml:space="preserve">3. Toronto Teacher Ambassador Program</w:t>
      </w:r>
    </w:p>
    <w:p>
      <w:pPr>
        <w:pStyle w:val="FirstParagraph"/>
      </w:pPr>
      <w:r>
        <w:t xml:space="preserve">Our new initiative recruits certified Teacher Secondary professionals from Toronto schools to co-create content and provide peer testimonials. This "Teacher for Teacher" approach has already generated 47 qualified leads in Q3 – a 180% increase over traditional sales methods.</w:t>
      </w:r>
    </w:p>
    <w:bookmarkEnd w:id="26"/>
    <w:bookmarkEnd w:id="27"/>
    <w:bookmarkStart w:id="28" w:name="Xd808e621fb7286cc083fd84bbb5acc1e8d40064"/>
    <w:p>
      <w:pPr>
        <w:pStyle w:val="Heading2"/>
      </w:pPr>
      <w:r>
        <w:t xml:space="preserve">Future Recommendations for Canada Toronto Market</w:t>
      </w:r>
    </w:p>
    <w:p>
      <w:pPr>
        <w:numPr>
          <w:ilvl w:val="0"/>
          <w:numId w:val="1002"/>
        </w:numPr>
        <w:pStyle w:val="Compact"/>
      </w:pPr>
      <w:r>
        <w:rPr>
          <w:bCs/>
          <w:b/>
        </w:rPr>
        <w:t xml:space="preserve">Invest in TDSB Partnership:</w:t>
      </w:r>
      <w:r>
        <w:t xml:space="preserve"> </w:t>
      </w:r>
      <w:r>
        <w:t xml:space="preserve">Secure exclusive partnership with Toronto District School Board's new Innovation Fund to co-develop curriculum tools. Targeting 20% market share within TDSB by Q4 2024.</w:t>
      </w:r>
    </w:p>
    <w:p>
      <w:pPr>
        <w:numPr>
          <w:ilvl w:val="0"/>
          <w:numId w:val="1002"/>
        </w:numPr>
        <w:pStyle w:val="Compact"/>
      </w:pPr>
      <w:r>
        <w:rPr>
          <w:bCs/>
          <w:b/>
        </w:rPr>
        <w:t xml:space="preserve">Create "Secondary Teacher Success" Certification:</w:t>
      </w:r>
      <w:r>
        <w:t xml:space="preserve"> </w:t>
      </w:r>
      <w:r>
        <w:t xml:space="preserve">Develop a micro-credential for educators using our platform, recognized by Ontario colleges – addressing Teacher Secondary professional development needs while creating product stickiness.</w:t>
      </w:r>
    </w:p>
    <w:p>
      <w:pPr>
        <w:numPr>
          <w:ilvl w:val="0"/>
          <w:numId w:val="1002"/>
        </w:numPr>
        <w:pStyle w:val="Compact"/>
      </w:pPr>
      <w:r>
        <w:rPr>
          <w:bCs/>
          <w:b/>
        </w:rPr>
        <w:t xml:space="preserve">Implement Toronto-Specific Sales Training:</w:t>
      </w:r>
      <w:r>
        <w:t xml:space="preserve"> </w:t>
      </w:r>
      <w:r>
        <w:t xml:space="preserve">All sales staff must complete Ontario education policy certification. Current Toronto sales team shows 42% higher conversion when demonstrating curriculum alignment knowledge.</w:t>
      </w:r>
    </w:p>
    <w:p>
      <w:pPr>
        <w:numPr>
          <w:ilvl w:val="0"/>
          <w:numId w:val="1002"/>
        </w:numPr>
        <w:pStyle w:val="Compact"/>
      </w:pPr>
      <w:r>
        <w:rPr>
          <w:bCs/>
          <w:b/>
        </w:rPr>
        <w:t xml:space="preserve">Develop Hybrid Learning Kits:</w:t>
      </w:r>
      <w:r>
        <w:t xml:space="preserve"> </w:t>
      </w:r>
      <w:r>
        <w:t xml:space="preserve">Address Toronto's digital divide by creating low-bandwidth, print-enhanced tool kits for schools with inconsistent device access – targeting 30+ new contracts in priority neighborhoods.</w:t>
      </w:r>
    </w:p>
    <w:bookmarkEnd w:id="28"/>
    <w:bookmarkStart w:id="29" w:name="X8f8d91b38f5771db5c07207933502bff057a33b"/>
    <w:p>
      <w:pPr>
        <w:pStyle w:val="Heading2"/>
      </w:pPr>
      <w:r>
        <w:t xml:space="preserve">Conclusion: The Toronto Secondary Teacher Imperative</w:t>
      </w:r>
    </w:p>
    <w:p>
      <w:pPr>
        <w:pStyle w:val="FirstParagraph"/>
      </w:pPr>
      <w:r>
        <w:t xml:space="preserve">The Toronto secondary education market represents Canada's most dynamic and high-value opportunity for educational vendors. Our Q3 data proves that products specifically designed with Teacher Secondary needs in mind – particularly Ontario curriculum alignment, mental health support, and budget-conscious models – achieve superior adoption rates. As the largest school district in North America, Toronto sets trends for Canadian secondary education. By embedding our solutions within Toronto's unique educational ecosystem through teacher-centric design and board partnerships, we position ourselves to capture 35% of the $48M annual Teacher Secondary product market in Canada's most populous city by Q2 2025.</w:t>
      </w:r>
    </w:p>
    <w:p>
      <w:pPr>
        <w:pStyle w:val="BodyText"/>
      </w:pPr>
      <w:r>
        <w:t xml:space="preserve">Prepared for Executive Leadership</w:t>
      </w:r>
      <w:r>
        <w:br/>
      </w:r>
      <w:r>
        <w:t xml:space="preserve">Education Solutions Canada, Toronto Office</w:t>
      </w:r>
      <w:r>
        <w:br/>
      </w:r>
      <w:r>
        <w:t xml:space="preserve">October 15,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Canada Toronto Market Analysis</dc:title>
  <dc:creator/>
  <dc:language>en</dc:language>
  <cp:keywords/>
  <dcterms:created xsi:type="dcterms:W3CDTF">2026-07-23T11:09:07Z</dcterms:created>
  <dcterms:modified xsi:type="dcterms:W3CDTF">2026-07-23T11:09:07Z</dcterms:modified>
</cp:coreProperties>
</file>

<file path=docProps/custom.xml><?xml version="1.0" encoding="utf-8"?>
<Properties xmlns="http://schemas.openxmlformats.org/officeDocument/2006/custom-properties" xmlns:vt="http://schemas.openxmlformats.org/officeDocument/2006/docPropsVTypes"/>
</file>