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&amp;</w:t>
      </w:r>
      <w:r>
        <w:t xml:space="preserve"> </w:t>
      </w:r>
      <w:r>
        <w:t xml:space="preserve">Development</w:t>
      </w:r>
      <w:r>
        <w:t xml:space="preserve"> </w:t>
      </w:r>
      <w:r>
        <w:t xml:space="preserve">Services</w:t>
      </w:r>
      <w:r>
        <w:t xml:space="preserve"> </w:t>
      </w:r>
      <w:r>
        <w:t xml:space="preserve">-</w:t>
      </w:r>
      <w:r>
        <w:t xml:space="preserve"> </w:t>
      </w:r>
      <w:r>
        <w:t xml:space="preserve">China</w:t>
      </w:r>
      <w:r>
        <w:t xml:space="preserve"> </w:t>
      </w:r>
      <w:r>
        <w:t xml:space="preserve">Beijing</w:t>
      </w:r>
    </w:p>
    <w:bookmarkStart w:id="27" w:name="X48604d5c8ba52ffd6d6c8bba414a28159b5357c"/>
    <w:p>
      <w:pPr>
        <w:pStyle w:val="Heading1"/>
      </w:pPr>
      <w:r>
        <w:t xml:space="preserve">Q3 2024 Sales Report: Strategic Expansion of Secondary Teacher Solutions in China Beijing Market</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initiatives for our Secondary Teacher recruitment and professional development services within the competitive educational landscape of China Beijing. The third quarter (July-September 2024) marked a significant milestone in our regional strategy, with a 32% year-over-year increase in signed agreements with secondary-level institutions across Beijing's key districts. This growth directly addresses the critical demand for qualified Secondary Teacher talent driven by Beijing's stringent educational reforms and demographic shifts. Our tailored solutions have positioned us as the preferred partner for schools navigating China's evolving pedagogical standards.</w:t>
      </w:r>
    </w:p>
    <w:bookmarkEnd w:id="20"/>
    <w:bookmarkStart w:id="21" w:name="X85b40baa1ea1e7c5cce0efa34307ffe59380f98"/>
    <w:p>
      <w:pPr>
        <w:pStyle w:val="Heading2"/>
      </w:pPr>
      <w:r>
        <w:t xml:space="preserve">Market Context: Secondary Education Imperatives in China Beijing</w:t>
      </w:r>
    </w:p>
    <w:p>
      <w:pPr>
        <w:pStyle w:val="FirstParagraph"/>
      </w:pPr>
      <w:r>
        <w:t xml:space="preserve">Beijing, as the national capital and educational hub of China, faces unique pressures in secondary education. The city's Ministry of Education (MOE) has intensified focus on STEM proficiency, bilingual instruction (Mandarin-English), and student-centered learning frameworks under the 2023 National Curriculum Reform. This has created a critical shortage: Beijing Secondary Schools report an average vacancy rate of 18% for core subjects (Mathematics, Physics, English), with urban districts like Haidian and Chaoyang experiencing acute shortages in qualified Secondary Teacher staff. Our Sales Report confirms that over 75% of schools surveyed prioritized hiring certified secondary educators with digital literacy skills – a key differentiator in our service offering.</w:t>
      </w:r>
    </w:p>
    <w:bookmarkEnd w:id="21"/>
    <w:bookmarkStart w:id="22" w:name="X4bfd23a1867ede3402a89db73c631b4a9304264"/>
    <w:p>
      <w:pPr>
        <w:pStyle w:val="Heading2"/>
      </w:pPr>
      <w:r>
        <w:t xml:space="preserve">Q3 Sales Performance: Key Metrics (China Beijing Focus)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Signed Agreements (Secondary Schools)</w:t>
      </w:r>
    </w:p>
    <w:p>
      <w:pPr>
        <w:pStyle w:val="BodyText"/>
      </w:pPr>
      <w:r>
        <w:t xml:space="preserve">47</w:t>
      </w:r>
    </w:p>
    <w:p>
      <w:pPr>
        <w:pStyle w:val="BodyText"/>
      </w:pPr>
      <w:r>
        <w:t xml:space="preserve">36</w:t>
      </w:r>
    </w:p>
    <w:p>
      <w:pPr>
        <w:pStyle w:val="BodyText"/>
      </w:pPr>
      <w:r>
        <w:t xml:space="preserve">+30.6%</w:t>
      </w:r>
    </w:p>
    <w:p>
      <w:pPr>
        <w:pStyle w:val="BodyText"/>
      </w:pPr>
      <w:r>
        <w:t xml:space="preserve">Secondary Teacher Placements</w:t>
      </w:r>
    </w:p>
    <w:p>
      <w:pPr>
        <w:pStyle w:val="BodyText"/>
      </w:pPr>
      <w:r>
        <w:t xml:space="preserve">218</w:t>
      </w:r>
    </w:p>
    <w:p>
      <w:pPr>
        <w:pStyle w:val="BodyText"/>
      </w:pPr>
      <w:r>
        <w:t xml:space="preserve">&lt;</w:t>
      </w:r>
    </w:p>
    <w:p>
      <w:pPr>
        <w:pStyle w:val="BodyText"/>
      </w:pPr>
      <w:r>
        <w:t xml:space="preserve">154</w:t>
      </w:r>
    </w:p>
    <w:p>
      <w:pPr>
        <w:pStyle w:val="BodyText"/>
      </w:pPr>
      <w:r>
        <w:t xml:space="preserve">+41.5%</w:t>
      </w:r>
    </w:p>
    <w:p>
      <w:pPr>
        <w:pStyle w:val="BodyText"/>
      </w:pPr>
      <w:r>
        <w:t xml:space="preserve">Avg. Contract Value (per School)</w:t>
      </w:r>
    </w:p>
    <w:p>
      <w:pPr>
        <w:pStyle w:val="BodyText"/>
      </w:pPr>
      <w:r>
        <w:t xml:space="preserve">CNY 680,000</w:t>
      </w:r>
    </w:p>
    <w:p>
      <w:pPr>
        <w:pStyle w:val="BodyText"/>
      </w:pPr>
      <w:r>
        <w:t xml:space="preserve">CNY 592,000</w:t>
      </w:r>
    </w:p>
    <w:p>
      <w:pPr>
        <w:pStyle w:val="BodyText"/>
      </w:pPr>
      <w:r>
        <w:t xml:space="preserve">+14.9%</w:t>
      </w:r>
    </w:p>
    <w:p>
      <w:pPr>
        <w:pStyle w:val="BodyText"/>
      </w:pPr>
      <w:r>
        <w:t xml:space="preserve">Client Retention Rate (Secondary Schools)</w:t>
      </w:r>
    </w:p>
    <w:p>
      <w:pPr>
        <w:pStyle w:val="BodyText"/>
      </w:pPr>
      <w:r>
        <w:t xml:space="preserve">89%</w:t>
      </w:r>
    </w:p>
    <w:p>
      <w:pPr>
        <w:pStyle w:val="BodyText"/>
      </w:pPr>
      <w:r>
        <w:t xml:space="preserve">83%</w:t>
      </w:r>
    </w:p>
    <w:p>
      <w:pPr>
        <w:pStyle w:val="BodyText"/>
      </w:pPr>
      <w:r>
        <w:t xml:space="preserve">+6%</w:t>
      </w:r>
    </w:p>
    <w:p>
      <w:pPr>
        <w:pStyle w:val="BodyText"/>
      </w:pPr>
      <w:r>
        <w:t xml:space="preserve">The data underscores a robust demand for specialized Secondary Teacher solutions. Notably, 62% of new contracts were signed with public secondary schools in Beijing's "High-Tech Zone" (including Shunyi and Yizhuang), where international and bilingual programs require teachers meeting both national standards and global pedagogical frameworks.</w:t>
      </w:r>
    </w:p>
    <w:bookmarkEnd w:id="22"/>
    <w:bookmarkStart w:id="23" w:name="strategic-initiatives-driving-success"/>
    <w:p>
      <w:pPr>
        <w:pStyle w:val="Heading2"/>
      </w:pPr>
      <w:r>
        <w:t xml:space="preserve">Strategic Initiatives Driving Success</w:t>
      </w:r>
    </w:p>
    <w:p>
      <w:pPr>
        <w:pStyle w:val="FirstParagraph"/>
      </w:pPr>
      <w:r>
        <w:t xml:space="preserve">Our success in the China Beijing market stems from three targeted initiatives aligned with local needs:</w:t>
      </w:r>
    </w:p>
    <w:p>
      <w:pPr>
        <w:numPr>
          <w:ilvl w:val="0"/>
          <w:numId w:val="1001"/>
        </w:numPr>
        <w:pStyle w:val="Compact"/>
      </w:pPr>
      <w:r>
        <w:rPr>
          <w:bCs/>
          <w:b/>
        </w:rPr>
        <w:t xml:space="preserve">Beijing-Compliant Teacher Certification Pathways:</w:t>
      </w:r>
      <w:r>
        <w:t xml:space="preserve"> </w:t>
      </w:r>
      <w:r>
        <w:t xml:space="preserve">We developed a mandatory certification module co-created with Beijing Normal University, ensuring all Secondary Teachers meet the "Beijing Educational Quality Standards" (BEQS) for curriculum delivery and student assessment. This directly addresses schools' compliance concerns.</w:t>
      </w:r>
    </w:p>
    <w:p>
      <w:pPr>
        <w:numPr>
          <w:ilvl w:val="0"/>
          <w:numId w:val="1001"/>
        </w:numPr>
        <w:pStyle w:val="Compact"/>
      </w:pPr>
      <w:r>
        <w:rPr>
          <w:bCs/>
          <w:b/>
        </w:rPr>
        <w:t xml:space="preserve">Digital Integration Suite:</w:t>
      </w:r>
      <w:r>
        <w:t xml:space="preserve"> </w:t>
      </w:r>
      <w:r>
        <w:t xml:space="preserve">Launched "E-Teacher Beijing," a mobile platform connecting Secondary Teacher candidates with schools via AI-matched skill profiles, streamlining the hiring process within Beijing's administrative timelines. 78% of clients reported reduced onboarding time by 35%.</w:t>
      </w:r>
    </w:p>
    <w:p>
      <w:pPr>
        <w:numPr>
          <w:ilvl w:val="0"/>
          <w:numId w:val="1001"/>
        </w:numPr>
        <w:pStyle w:val="Compact"/>
      </w:pPr>
      <w:r>
        <w:rPr>
          <w:bCs/>
          <w:b/>
        </w:rPr>
        <w:t xml:space="preserve">Localized Professional Development:</w:t>
      </w:r>
      <w:r>
        <w:t xml:space="preserve"> </w:t>
      </w:r>
      <w:r>
        <w:t xml:space="preserve">Partnered with Beijing Municipal Education Commission to deliver in-district workshops on "2024-2025 Curriculum Implementation" for Secondary Teacher staff, focusing on new MOE guidelines. This increased client retention and cross-sell opportunities.</w:t>
      </w:r>
    </w:p>
    <w:bookmarkEnd w:id="23"/>
    <w:bookmarkStart w:id="24" w:name="X6ba661fcec57ee62036b7d4a711ebed4e041396"/>
    <w:p>
      <w:pPr>
        <w:pStyle w:val="Heading2"/>
      </w:pPr>
      <w:r>
        <w:t xml:space="preserve">Challenges &amp; Adaptive Strategies in China Beijing</w:t>
      </w:r>
    </w:p>
    <w:p>
      <w:pPr>
        <w:pStyle w:val="FirstParagraph"/>
      </w:pPr>
      <w:r>
        <w:t xml:space="preserve">The China Beijing market presented specific hurdles requiring agile solutions. Initial resistance from some public schools regarding "non-state" recruitment partners was overcome through strategic alignment with the Beijing Education Bureau's 2023 Talent Development Plan. We also addressed seasonal demand spikes by launching a dedicated summer recruitment drive in May 2024, pre-empting August hiring cycles for the new academic year.</w:t>
      </w:r>
    </w:p>
    <w:p>
      <w:pPr>
        <w:pStyle w:val="BodyText"/>
      </w:pPr>
      <w:r>
        <w:t xml:space="preserve">A critical challenge was balancing China's emphasis on "Patriotic Education" with modern pedagogical methods. Our Sales Report notes that 83% of Secondary Teacher candidates now receive mandatory training on integrating national values into subject-specific lessons – a feature explicitly requested by Beijing authorities. This adaptation transformed perceived limitations into key competitive advantages.</w:t>
      </w:r>
    </w:p>
    <w:bookmarkEnd w:id="24"/>
    <w:bookmarkStart w:id="25" w:name="Xeabb9f796d6e13e34d7d44531b58e4f99c3f9e3"/>
    <w:p>
      <w:pPr>
        <w:pStyle w:val="Heading2"/>
      </w:pPr>
      <w:r>
        <w:t xml:space="preserve">Future Outlook: Targeting Growth in China Beijing</w:t>
      </w:r>
    </w:p>
    <w:p>
      <w:pPr>
        <w:pStyle w:val="FirstParagraph"/>
      </w:pPr>
      <w:r>
        <w:t xml:space="preserve">Based on Q3 performance and Beijing's 2024-2025 Education Plan, we project a 40% year-on-year increase in Secondary Teacher service contracts for H1 2025. Our roadmap includes:</w:t>
      </w:r>
    </w:p>
    <w:p>
      <w:pPr>
        <w:numPr>
          <w:ilvl w:val="0"/>
          <w:numId w:val="1002"/>
        </w:numPr>
        <w:pStyle w:val="Compact"/>
      </w:pPr>
      <w:r>
        <w:t xml:space="preserve">Expanding partnerships with Beijing's "Model Secondary Schools" (e.g., Beijing No. 4 High School, Chaoyang Experimental School) to co-develop teacher training curricula.</w:t>
      </w:r>
    </w:p>
    <w:p>
      <w:pPr>
        <w:numPr>
          <w:ilvl w:val="0"/>
          <w:numId w:val="1002"/>
        </w:numPr>
        <w:pStyle w:val="Compact"/>
      </w:pPr>
      <w:r>
        <w:t xml:space="preserve">Introducing a "Beijing STEM Teacher Accelerator Program" targeting the city's goal of 50% STEM-focused secondary schools by 2026.</w:t>
      </w:r>
    </w:p>
    <w:p>
      <w:pPr>
        <w:numPr>
          <w:ilvl w:val="0"/>
          <w:numId w:val="1002"/>
        </w:numPr>
        <w:pStyle w:val="Compact"/>
      </w:pPr>
      <w:r>
        <w:t xml:space="preserve">Launching an AI-powered demand forecasting tool for Beijing district education bureaus, predicting Secondary Teacher shortages at the subject/district level up to 18 months in advance.</w:t>
      </w:r>
    </w:p>
    <w:bookmarkEnd w:id="25"/>
    <w:bookmarkStart w:id="26" w:name="X8f5a9735e0048f9a11edf735b49f93fe1fe8ce2"/>
    <w:p>
      <w:pPr>
        <w:pStyle w:val="Heading2"/>
      </w:pPr>
      <w:r>
        <w:t xml:space="preserve">Conclusion: Cementing Leadership in Beijing's Secondary Education Ecosystem</w:t>
      </w:r>
    </w:p>
    <w:p>
      <w:pPr>
        <w:pStyle w:val="FirstParagraph"/>
      </w:pPr>
      <w:r>
        <w:t xml:space="preserve">This Sales Report affirms that our strategic focus on Beijing-specific secondary education needs has yielded exceptional results. The term "Secondary Teacher" is no longer just a job title – it represents the linchpin of China's educational transformation, particularly within the high-stakes environment of Beijing schools. Our ability to deliver certified, compliant, and pedagogically aligned Secondary Teacher talent directly supports Beijing's mission for educational excellence. As we continue refining our solutions to meet evolving China Beijing mandates, this Sales Report demonstrates not merely a successful quarter – it signals the foundation of long-term market leadership in one of Asia's most dynamic education markets.</w:t>
      </w:r>
    </w:p>
    <w:p>
      <w:pPr>
        <w:pStyle w:val="BodyText"/>
      </w:pPr>
      <w:r>
        <w:rPr>
          <w:bCs/>
          <w:b/>
        </w:rPr>
        <w:t xml:space="preserve">Prepared For:</w:t>
      </w:r>
      <w:r>
        <w:t xml:space="preserve"> </w:t>
      </w:r>
      <w:r>
        <w:t xml:space="preserve">Senior Leadership Team, China Education Market Division</w:t>
      </w:r>
      <w:r>
        <w:br/>
      </w:r>
      <w:r>
        <w:rPr>
          <w:bCs/>
          <w:b/>
        </w:rPr>
        <w:t xml:space="preserve">Date:</w:t>
      </w:r>
      <w:r>
        <w:t xml:space="preserve"> </w:t>
      </w:r>
      <w:r>
        <w:t xml:space="preserve">October 15, 2024</w:t>
      </w:r>
      <w:r>
        <w:br/>
      </w:r>
      <w:r>
        <w:rPr>
          <w:bCs/>
          <w:b/>
        </w:rPr>
        <w:t xml:space="preserve">Report Period:</w:t>
      </w:r>
      <w:r>
        <w:t xml:space="preserve"> </w:t>
      </w:r>
      <w:r>
        <w:t xml:space="preserve">Q3 2024 (July 1 - September 30)</w:t>
      </w:r>
      <w:r>
        <w:br/>
      </w:r>
      <w:r>
        <w:rPr>
          <w:bCs/>
          <w:b/>
        </w:rPr>
        <w:t xml:space="preserve">Metric Source:</w:t>
      </w:r>
      <w:r>
        <w:t xml:space="preserve"> </w:t>
      </w:r>
      <w:r>
        <w:t xml:space="preserve">Beijing Municipal Education Bureau Data, Client Contract Database, Internal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Secondary Teacher Recruitment &amp; Development Services - China Beijing</dc:title>
  <dc:creator/>
  <dc:language>en</dc:language>
  <cp:keywords/>
  <dcterms:created xsi:type="dcterms:W3CDTF">2026-07-23T05:56:06Z</dcterms:created>
  <dcterms:modified xsi:type="dcterms:W3CDTF">2026-07-23T05:56:06Z</dcterms:modified>
</cp:coreProperties>
</file>

<file path=docProps/custom.xml><?xml version="1.0" encoding="utf-8"?>
<Properties xmlns="http://schemas.openxmlformats.org/officeDocument/2006/custom-properties" xmlns:vt="http://schemas.openxmlformats.org/officeDocument/2006/docPropsVTypes"/>
</file>