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p>
    <w:bookmarkStart w:id="27" w:name="X718ff433a20257d6d2ad2bd7234813c57831b6e"/>
    <w:p>
      <w:pPr>
        <w:pStyle w:val="Heading1"/>
      </w:pPr>
      <w:r>
        <w:t xml:space="preserve">Comprehensive Sales Report: Teacher Secondary Solutions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Executive Board</w:t>
      </w:r>
      <w:r>
        <w:br/>
      </w:r>
      <w:r>
        <w:rPr>
          <w:bCs/>
          <w:b/>
        </w:rPr>
        <w:t xml:space="preserve">Report Period:</w:t>
      </w:r>
      <w:r>
        <w:t xml:space="preserve"> </w:t>
      </w:r>
      <w:r>
        <w:t xml:space="preserve">Q3 2023 (July - September)</w:t>
      </w:r>
    </w:p>
    <w:bookmarkStart w:id="20" w:name="X47ddbb4fa31f05dd0fff486a2f7604fe95565ff"/>
    <w:p>
      <w:pPr>
        <w:pStyle w:val="Heading2"/>
      </w:pPr>
      <w:r>
        <w:t xml:space="preserve">I. Introduction to the Teacher Secondary Sales Report</w:t>
      </w:r>
    </w:p>
    <w:p>
      <w:pPr>
        <w:pStyle w:val="FirstParagraph"/>
      </w:pPr>
      <w:r>
        <w:t xml:space="preserve">This official Sales Report details the performance of our Teacher Secondary product suite within China Guangzhou's education market. As a critical component of our global expansion strategy, this document analyzes sales metrics, market penetration, and strategic opportunities specifically targeting secondary education institutions across Guangzhou. The Teacher Secondary division—focused on professional development tools and curriculum solutions for high school educators—has demonstrated exceptional growth in this dynamic Chinese metropolis. This report confirms Guangzhou as a pivotal market where our Teacher Secondary offerings are driving measurable impact in educational quality improvement.</w:t>
      </w:r>
    </w:p>
    <w:bookmarkEnd w:id="20"/>
    <w:bookmarkStart w:id="21" w:name="Xe477767eec83e7cf5004b84e0365e38b3272455"/>
    <w:p>
      <w:pPr>
        <w:pStyle w:val="Heading2"/>
      </w:pPr>
      <w:r>
        <w:t xml:space="preserve">II. Market Context: China Guangzhou's Educational Landscape</w:t>
      </w:r>
    </w:p>
    <w:p>
      <w:pPr>
        <w:pStyle w:val="FirstParagraph"/>
      </w:pPr>
      <w:r>
        <w:t xml:space="preserve">Guangzhou, as China's third-largest city and a national education hub, hosts over 350 secondary schools serving 1.8 million students. The Guangdong Provincial Department of Education has prioritized "Quality Education 2030" initiatives, creating unprecedented demand for specialized teacher training resources. This context makes China Guangzhou an ideal testing ground for our Teacher Secondary solutions, which align with local mandates to enhance pedagogical skills in STEM and bilingual education. Our analysis reveals that 78% of Guangzhou secondary schools now actively seek technology-integrated teacher development programs—a perfect alignment with our core Teacher Secondary portfolio.</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Growth</w:t>
            </w:r>
          </w:p>
        </w:tc>
      </w:tr>
      <w:tr>
        <w:tc>
          <w:tcPr/>
          <w:p>
            <w:pPr>
              <w:pStyle w:val="Compact"/>
              <w:jc w:val="left"/>
            </w:pPr>
            <w:r>
              <w:t xml:space="preserve">Total Revenue (RMB)</w:t>
            </w:r>
          </w:p>
        </w:tc>
        <w:tc>
          <w:tcPr/>
          <w:p>
            <w:pPr>
              <w:pStyle w:val="Compact"/>
              <w:jc w:val="left"/>
            </w:pPr>
            <w:r>
              <w:t xml:space="preserve">¥8,750,000</w:t>
            </w:r>
          </w:p>
        </w:tc>
        <w:tc>
          <w:tcPr/>
          <w:p>
            <w:pPr>
              <w:pStyle w:val="Compact"/>
              <w:jc w:val="left"/>
            </w:pPr>
            <w:r>
              <w:t xml:space="preserve">¥6,415,000</w:t>
            </w:r>
          </w:p>
        </w:tc>
        <w:tc>
          <w:tcPr/>
          <w:p>
            <w:pPr>
              <w:pStyle w:val="Compact"/>
              <w:jc w:val="left"/>
            </w:pPr>
            <w:r>
              <w:t xml:space="preserve">+36.4%</w:t>
            </w:r>
          </w:p>
        </w:tc>
      </w:tr>
      <w:tr>
        <w:tc>
          <w:tcPr/>
          <w:p>
            <w:pPr>
              <w:pStyle w:val="Compact"/>
              <w:jc w:val="left"/>
            </w:pPr>
            <w:r>
              <w:t xml:space="preserve">New School Contracts</w:t>
            </w:r>
          </w:p>
        </w:tc>
        <w:tc>
          <w:tcPr/>
          <w:p>
            <w:pPr>
              <w:pStyle w:val="Compact"/>
              <w:jc w:val="left"/>
            </w:pPr>
            <w:r>
              <w:t xml:space="preserve">29 schools</w:t>
            </w:r>
          </w:p>
        </w:tc>
        <w:tc>
          <w:tcPr/>
          <w:p>
            <w:pPr>
              <w:pStyle w:val="Compact"/>
              <w:jc w:val="left"/>
            </w:pPr>
            <w:r>
              <w:t xml:space="preserve">18 schools</w:t>
            </w:r>
          </w:p>
        </w:tc>
        <w:tc>
          <w:tcPr/>
          <w:p>
            <w:pPr>
              <w:pStyle w:val="Compact"/>
              <w:jc w:val="left"/>
            </w:pPr>
            <w:r>
              <w:t xml:space="preserve">+61.1%</w:t>
            </w:r>
          </w:p>
        </w:tc>
      </w:tr>
      <w:tr>
        <w:tc>
          <w:tcPr/>
          <w:p>
            <w:pPr>
              <w:pStyle w:val="Compact"/>
              <w:jc w:val="left"/>
            </w:pPr>
            <w:r>
              <w:t xml:space="preserve">Product Penetration Rate</w:t>
            </w:r>
          </w:p>
        </w:tc>
        <w:tc>
          <w:tcPr/>
          <w:p>
            <w:pPr>
              <w:pStyle w:val="Compact"/>
              <w:jc w:val="left"/>
            </w:pPr>
            <w:r>
              <w:t xml:space="preserve">43%</w:t>
            </w:r>
          </w:p>
        </w:tc>
        <w:tc>
          <w:tcPr/>
          <w:p>
            <w:pPr>
              <w:pStyle w:val="Compact"/>
              <w:jc w:val="left"/>
            </w:pPr>
            <w:r>
              <w:t xml:space="preserve">31%</w:t>
            </w:r>
          </w:p>
        </w:tc>
        <w:tc>
          <w:tcPr/>
          <w:p>
            <w:pPr>
              <w:pStyle w:val="Compact"/>
              <w:jc w:val="left"/>
            </w:pPr>
            <w:r>
              <w:t xml:space="preserve">+32.3%</w:t>
            </w:r>
          </w:p>
        </w:tc>
      </w:tr>
    </w:tbl>
    <w:p>
      <w:pPr>
        <w:pStyle w:val="BodyText"/>
      </w:pPr>
      <w:r>
        <w:t xml:space="preserve">The Q3 performance marks a 25% acceleration in growth compared to previous quarters, positioning Teacher Secondary as our fastest-growing division in China Guangzhou. Notably, we achieved 92% client retention rate among existing schools—a testament to the effectiveness of our solutions. The surge stems from three strategic initiatives: (1) customized Mandarin-language teacher training modules; (2) partnerships with Guangzhou Education Bureau's "Digital School" program; and (3) targeted marketing at key secondary districts including Yuexiu, Tianhe, and Panyu.</w:t>
      </w:r>
    </w:p>
    <w:bookmarkEnd w:id="22"/>
    <w:bookmarkStart w:id="23" w:name="X4e6488727490c2084dbe27631dae368d9542c86"/>
    <w:p>
      <w:pPr>
        <w:pStyle w:val="Heading2"/>
      </w:pPr>
      <w:r>
        <w:t xml:space="preserve">IV. Key Achievement: Teacher Secondary in Action</w:t>
      </w:r>
    </w:p>
    <w:p>
      <w:pPr>
        <w:pStyle w:val="FirstParagraph"/>
      </w:pPr>
      <w:r>
        <w:t xml:space="preserve">A landmark achievement involved a 15-school consortium in Guangzhou's Baiyun District. Our Teacher Secondary program delivered:</w:t>
      </w:r>
    </w:p>
    <w:p>
      <w:pPr>
        <w:numPr>
          <w:ilvl w:val="0"/>
          <w:numId w:val="1001"/>
        </w:numPr>
        <w:pStyle w:val="Compact"/>
      </w:pPr>
      <w:r>
        <w:rPr>
          <w:bCs/>
          <w:b/>
        </w:rPr>
        <w:t xml:space="preserve">AI-Powered Lesson Planner:</w:t>
      </w:r>
      <w:r>
        <w:t xml:space="preserve"> </w:t>
      </w:r>
      <w:r>
        <w:t xml:space="preserve">Reduced lesson preparation time by 34% for 2,100 teachers</w:t>
      </w:r>
    </w:p>
    <w:p>
      <w:pPr>
        <w:numPr>
          <w:ilvl w:val="0"/>
          <w:numId w:val="1001"/>
        </w:numPr>
        <w:pStyle w:val="Compact"/>
      </w:pPr>
      <w:r>
        <w:rPr>
          <w:bCs/>
          <w:b/>
        </w:rPr>
        <w:t xml:space="preserve">Bilingual STEM Toolkit:</w:t>
      </w:r>
      <w:r>
        <w:t xml:space="preserve"> </w:t>
      </w:r>
      <w:r>
        <w:t xml:space="preserve">Adopted by 85% of participating schools to meet Guangzhou's bilingual education goals</w:t>
      </w:r>
    </w:p>
    <w:p>
      <w:pPr>
        <w:numPr>
          <w:ilvl w:val="0"/>
          <w:numId w:val="1001"/>
        </w:numPr>
        <w:pStyle w:val="Compact"/>
      </w:pPr>
      <w:r>
        <w:rPr>
          <w:bCs/>
          <w:b/>
        </w:rPr>
        <w:t xml:space="preserve">Pedagogy Certification:</w:t>
      </w:r>
      <w:r>
        <w:t xml:space="preserve"> </w:t>
      </w:r>
      <w:r>
        <w:t xml:space="preserve">Trained 672 teachers in modern teaching methodologies, directly supporting the city's "Teacher Excellence Initiative"</w:t>
      </w:r>
    </w:p>
    <w:p>
      <w:pPr>
        <w:pStyle w:val="FirstParagraph"/>
      </w:pPr>
      <w:r>
        <w:t xml:space="preserve">This single project generated ¥3.2 million in revenue and established a reference case for nationwide expansion. As noted by Principal Li Wei of Guangzhou No. 8 High School: "The Teacher Secondary program transformed our teaching culture—students' STEM scores rose 19% within six months."</w:t>
      </w:r>
    </w:p>
    <w:bookmarkEnd w:id="23"/>
    <w:bookmarkStart w:id="24" w:name="v.-challenges-and-strategic-responses"/>
    <w:p>
      <w:pPr>
        <w:pStyle w:val="Heading2"/>
      </w:pPr>
      <w:r>
        <w:t xml:space="preserve">V. Challenges and Strategic Responses</w:t>
      </w:r>
    </w:p>
    <w:p>
      <w:pPr>
        <w:pStyle w:val="FirstParagraph"/>
      </w:pPr>
      <w:r>
        <w:t xml:space="preserve">Despite strong growth, we identified two critical challenges in China Guangzhou:</w:t>
      </w:r>
    </w:p>
    <w:p>
      <w:pPr>
        <w:numPr>
          <w:ilvl w:val="0"/>
          <w:numId w:val="1002"/>
        </w:numPr>
        <w:pStyle w:val="Compact"/>
      </w:pPr>
      <w:r>
        <w:rPr>
          <w:bCs/>
          <w:b/>
        </w:rPr>
        <w:t xml:space="preserve">Regulatory Nuances:</w:t>
      </w:r>
      <w:r>
        <w:t xml:space="preserve"> </w:t>
      </w:r>
      <w:r>
        <w:t xml:space="preserve">Initial delays in school approvals due to unfamiliarity with foreign educational products. *Response:* We now co-develop solutions with Guangzhou Education Bureau-approved local partners, accelerating compliance by 70%.</w:t>
      </w:r>
    </w:p>
    <w:p>
      <w:pPr>
        <w:numPr>
          <w:ilvl w:val="0"/>
          <w:numId w:val="1002"/>
        </w:numPr>
        <w:pStyle w:val="Compact"/>
      </w:pPr>
      <w:r>
        <w:rPr>
          <w:bCs/>
          <w:b/>
        </w:rPr>
        <w:t xml:space="preserve">Competitive Landscape:</w:t>
      </w:r>
      <w:r>
        <w:t xml:space="preserve"> </w:t>
      </w:r>
      <w:r>
        <w:t xml:space="preserve">Local rivals offering cheaper but lower-value programs. *Response:* We pivoted to a "Value-Based Pricing" model emphasizing ROI through student outcomes data, securing 42% higher average contract values than competitors in Guangzhou.</w:t>
      </w:r>
    </w:p>
    <w:p>
      <w:pPr>
        <w:pStyle w:val="FirstParagraph"/>
      </w:pPr>
      <w:r>
        <w:t xml:space="preserve">This proactive adaptation directly supports our Sales Report mandate to strengthen Teacher Secondary market leadership in China Guangzhou through localized strategy.</w:t>
      </w:r>
    </w:p>
    <w:bookmarkEnd w:id="24"/>
    <w:bookmarkStart w:id="25" w:name="X61661f65fc26eea314c427d4b2846156ce175a4"/>
    <w:p>
      <w:pPr>
        <w:pStyle w:val="Heading2"/>
      </w:pPr>
      <w:r>
        <w:t xml:space="preserve">VI. Future Strategy for China Guangzhou Expansion</w:t>
      </w:r>
    </w:p>
    <w:p>
      <w:pPr>
        <w:pStyle w:val="FirstParagraph"/>
      </w:pPr>
      <w:r>
        <w:t xml:space="preserve">Based on Q3 success, we propose three pillars for Teacher Secondary growth in China Guangzhou:</w:t>
      </w:r>
    </w:p>
    <w:p>
      <w:pPr>
        <w:numPr>
          <w:ilvl w:val="0"/>
          <w:numId w:val="1003"/>
        </w:numPr>
        <w:pStyle w:val="Compact"/>
      </w:pPr>
      <w:r>
        <w:rPr>
          <w:bCs/>
          <w:b/>
        </w:rPr>
        <w:t xml:space="preserve">Guangzhou Innovation Hub:</w:t>
      </w:r>
      <w:r>
        <w:t xml:space="preserve"> </w:t>
      </w:r>
      <w:r>
        <w:t xml:space="preserve">Establish a dedicated R&amp;D center within the city to develop region-specific content (e.g., "Pearl River Delta Industry-Linked Curriculum" modules), ensuring 100% cultural relevance.</w:t>
      </w:r>
    </w:p>
    <w:p>
      <w:pPr>
        <w:numPr>
          <w:ilvl w:val="0"/>
          <w:numId w:val="1003"/>
        </w:numPr>
        <w:pStyle w:val="Compact"/>
      </w:pPr>
      <w:r>
        <w:rPr>
          <w:bCs/>
          <w:b/>
        </w:rPr>
        <w:t xml:space="preserve">School Partnership Ecosystem:</w:t>
      </w:r>
      <w:r>
        <w:t xml:space="preserve"> </w:t>
      </w:r>
      <w:r>
        <w:t xml:space="preserve">Target 50 new secondary schools by Q1 2024 through strategic alliances with Guangzhou's top school management associations.</w:t>
      </w:r>
    </w:p>
    <w:p>
      <w:pPr>
        <w:numPr>
          <w:ilvl w:val="0"/>
          <w:numId w:val="1003"/>
        </w:numPr>
        <w:pStyle w:val="Compact"/>
      </w:pPr>
      <w:r>
        <w:rPr>
          <w:bCs/>
          <w:b/>
        </w:rPr>
        <w:t xml:space="preserve">Digital Transformation Pipeline:</w:t>
      </w:r>
      <w:r>
        <w:t xml:space="preserve"> </w:t>
      </w:r>
      <w:r>
        <w:t xml:space="preserve">Integrate our Teacher Secondary platform with Guangzhou's municipal education cloud system, creating seamless adoption for 85% of schools within two years.</w:t>
      </w:r>
    </w:p>
    <w:p>
      <w:pPr>
        <w:pStyle w:val="FirstParagraph"/>
      </w:pPr>
      <w:r>
        <w:t xml:space="preserve">We project a 47% sales increase in China Guangzhou by Q2 2024, with Teacher Secondary becoming the region's #1 provider of secondary educator development solutions.</w:t>
      </w:r>
    </w:p>
    <w:bookmarkEnd w:id="25"/>
    <w:bookmarkStart w:id="26" w:name="X5abab17b4290dc2efa3e74c58fcbb083d277692"/>
    <w:p>
      <w:pPr>
        <w:pStyle w:val="Heading2"/>
      </w:pPr>
      <w:r>
        <w:t xml:space="preserve">VII. Conclusion: The Teacher Secondary Imperative in China Guangzhou</w:t>
      </w:r>
    </w:p>
    <w:p>
      <w:pPr>
        <w:pStyle w:val="FirstParagraph"/>
      </w:pPr>
      <w:r>
        <w:t xml:space="preserve">This Sales Report unequivocally demonstrates that our Teacher Secondary division has become a catalyst for educational advancement across China Guangzhou. The market response validates our investment in localized solutions, with schools actively prioritizing Teacher Secondary offerings to meet evolving educational standards. As Guangzhou accelerates toward its 2035 education goals, the demand for specialized secondary teacher development will only intensify. We are positioned not merely to sell products but to partner with Guangzhou's education ecosystem as a strategic enabler of quality teaching.</w:t>
      </w:r>
    </w:p>
    <w:p>
      <w:pPr>
        <w:pStyle w:val="BodyText"/>
      </w:pPr>
      <w:r>
        <w:t xml:space="preserve">Looking ahead, all future initiatives will center on deepening Teacher Secondary integration within China Guangzhou's educational fabric. Our commitment is clear: To make every secondary teacher in Guangzhou more effective through tailored, high-impact solutions. This Sales Report confirms that our strategy has transformed Teacher Secondary from a product line into a movement—proving that excellence in education transcends borders when delivered with cultural intelligence.</w:t>
      </w:r>
    </w:p>
    <w:p>
      <w:pPr>
        <w:pStyle w:val="BodyText"/>
      </w:pPr>
      <w:r>
        <w:rPr>
          <w:bCs/>
          <w:b/>
        </w:rPr>
        <w:t xml:space="preserve">Prepared by:</w:t>
      </w:r>
      <w:r>
        <w:t xml:space="preserve"> </w:t>
      </w:r>
      <w:r>
        <w:t xml:space="preserve">Global Education Solutions China Team</w:t>
      </w:r>
      <w:r>
        <w:br/>
      </w:r>
      <w:r>
        <w:rPr>
          <w:bCs/>
          <w:b/>
        </w:rPr>
        <w:t xml:space="preserve">Verification:</w:t>
      </w:r>
      <w:r>
        <w:t xml:space="preserve"> </w:t>
      </w:r>
      <w:r>
        <w:t xml:space="preserve">Guangzhou Education Bureau Approved Partner (Ref: GZ-EDU-2023-789)</w:t>
      </w:r>
      <w:r>
        <w:br/>
      </w:r>
      <w:r>
        <w:rPr>
          <w:bCs/>
          <w:b/>
        </w:rPr>
        <w:t xml:space="preserve">Total Words:</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China Guangzhou Market</dc:title>
  <dc:creator/>
  <dc:language>en</dc:language>
  <cp:keywords/>
  <dcterms:created xsi:type="dcterms:W3CDTF">2026-07-21T14:40:09Z</dcterms:created>
  <dcterms:modified xsi:type="dcterms:W3CDTF">2026-07-21T14:40:09Z</dcterms:modified>
</cp:coreProperties>
</file>

<file path=docProps/custom.xml><?xml version="1.0" encoding="utf-8"?>
<Properties xmlns="http://schemas.openxmlformats.org/officeDocument/2006/custom-properties" xmlns:vt="http://schemas.openxmlformats.org/officeDocument/2006/docPropsVTypes"/>
</file>