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Teacher</w:t>
      </w:r>
      <w:r>
        <w:t xml:space="preserve"> </w:t>
      </w:r>
      <w:r>
        <w:t xml:space="preserve">Secondary</w:t>
      </w:r>
      <w:r>
        <w:t xml:space="preserve"> </w:t>
      </w:r>
      <w:r>
        <w:t xml:space="preserve">Solutions</w:t>
      </w:r>
      <w:r>
        <w:t xml:space="preserve"> </w:t>
      </w:r>
      <w:r>
        <w:t xml:space="preserve">for</w:t>
      </w:r>
      <w:r>
        <w:t xml:space="preserve"> </w:t>
      </w:r>
      <w:r>
        <w:t xml:space="preserve">China</w:t>
      </w:r>
      <w:r>
        <w:t xml:space="preserve"> </w:t>
      </w:r>
      <w:r>
        <w:t xml:space="preserve">Shanghai</w:t>
      </w:r>
      <w:r>
        <w:t xml:space="preserve"> </w:t>
      </w:r>
      <w:r>
        <w:t xml:space="preserve">Market</w:t>
      </w:r>
    </w:p>
    <w:bookmarkStart w:id="27" w:name="Xaa418a1f49d3b79f9791d6e5817272107e6e205"/>
    <w:p>
      <w:pPr>
        <w:pStyle w:val="Heading1"/>
      </w:pPr>
      <w:r>
        <w:t xml:space="preserve">Q3 2024 Sales Report: Strategic Performance of Teacher Secondary Solutions in China Shanghai</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Executive Leadership, Asia-Pacific Division</w:t>
      </w:r>
      <w:r>
        <w:br/>
      </w:r>
      <w:r>
        <w:rPr>
          <w:bCs/>
          <w:b/>
        </w:rPr>
        <w:t xml:space="preserve">Report Scope:</w:t>
      </w:r>
      <w:r>
        <w:t xml:space="preserve"> </w:t>
      </w:r>
      <w:r>
        <w:t xml:space="preserve">Q3 Sales Performance (July 1 - September 30, 2024) for Teacher Secondary Educational Solutions in Shanghai</w:t>
      </w:r>
    </w:p>
    <w:bookmarkStart w:id="20" w:name="executive-summary"/>
    <w:p>
      <w:pPr>
        <w:pStyle w:val="Heading2"/>
      </w:pPr>
      <w:r>
        <w:t xml:space="preserve">Executive Summary</w:t>
      </w:r>
    </w:p>
    <w:p>
      <w:pPr>
        <w:pStyle w:val="FirstParagraph"/>
      </w:pPr>
      <w:r>
        <w:t xml:space="preserve">This quarterly Sales Report details the strategic expansion and market penetration of our Teacher Secondary platform within China Shanghai's secondary education ecosystem. The region delivered exceptional results, with a 37% year-over-year increase in subscription revenue specifically targeting secondary school educators. This success underscores the critical alignment between our product suite and Shanghai's evolving educational priorities under its "Double Reduction" policy framework. Notably, 82% of new institutional contracts signed during Q3 were from Shanghai municipal schools—validating our localized approach to Teacher Secondary needs.</w:t>
      </w:r>
    </w:p>
    <w:bookmarkEnd w:id="20"/>
    <w:bookmarkStart w:id="21" w:name="Xac580472f1e5b69d23934fae4e3795c7db33489"/>
    <w:p>
      <w:pPr>
        <w:pStyle w:val="Heading2"/>
      </w:pPr>
      <w:r>
        <w:t xml:space="preserve">Market Context: Why Shanghai Demands Teacher Secondary Excellence</w:t>
      </w:r>
    </w:p>
    <w:p>
      <w:pPr>
        <w:pStyle w:val="FirstParagraph"/>
      </w:pPr>
      <w:r>
        <w:t xml:space="preserve">China's education reform agenda places unprecedented emphasis on teacher quality in secondary institutions. Shanghai, as the national benchmark for academic excellence (consistently ranking #1 in PISA scores), has implemented strict mandates requiring schools to adopt evidence-based pedagogical tools by 2025. This creates a unique opportunity for specialized Teacher Secondary solutions that address three core pain points: curriculum alignment with Gaokao (college entrance exam) requirements, differentiated instruction for diverse student cohorts, and data-driven professional development. Our sales strategy explicitly targets these needs in the Shanghai market through partnerships with the Shanghai Municipal Education Commission (SMEC), which prioritizes digital teacher empowerment.</w:t>
      </w:r>
    </w:p>
    <w:bookmarkEnd w:id="21"/>
    <w:bookmarkStart w:id="22" w:name="X5e00ac4bdc32ad7446d5ceedae3aae6161b4082"/>
    <w:p>
      <w:pPr>
        <w:pStyle w:val="Heading2"/>
      </w:pPr>
      <w:r>
        <w:t xml:space="preserve">Product Performance: Teacher Secondary Suite Adoption</w:t>
      </w:r>
    </w:p>
    <w:p>
      <w:pPr>
        <w:pStyle w:val="FirstParagraph"/>
      </w:pPr>
      <w:r>
        <w:t xml:space="preserve">Our flagship Teacher Secondary platform—comprising AI-driven lesson planning, student performance analytics, and micro-credentialing modules—saw unprecedented uptake. Key metrics from the China Shanghai market include:</w:t>
      </w:r>
    </w:p>
    <w:p>
      <w:pPr>
        <w:numPr>
          <w:ilvl w:val="0"/>
          <w:numId w:val="1001"/>
        </w:numPr>
        <w:pStyle w:val="Compact"/>
      </w:pPr>
      <w:r>
        <w:rPr>
          <w:bCs/>
          <w:b/>
        </w:rPr>
        <w:t xml:space="preserve">Contract Growth:</w:t>
      </w:r>
      <w:r>
        <w:t xml:space="preserve"> </w:t>
      </w:r>
      <w:r>
        <w:t xml:space="preserve">47 new secondary school contracts signed in Shanghai (vs. 29 in Q2), representing a 62% quarter-over-quarter increase</w:t>
      </w:r>
    </w:p>
    <w:p>
      <w:pPr>
        <w:numPr>
          <w:ilvl w:val="0"/>
          <w:numId w:val="1001"/>
        </w:numPr>
        <w:pStyle w:val="Compact"/>
      </w:pPr>
      <w:r>
        <w:rPr>
          <w:bCs/>
          <w:b/>
        </w:rPr>
        <w:t xml:space="preserve">User Adoption:</w:t>
      </w:r>
      <w:r>
        <w:t xml:space="preserve"> </w:t>
      </w:r>
      <w:r>
        <w:t xml:space="preserve">Over 18,500 secondary teachers actively using our platform across Shanghai's top-tier schools (including renowned institutions like Shanghai High School and Huashan Foreign Language School)</w:t>
      </w:r>
    </w:p>
    <w:p>
      <w:pPr>
        <w:numPr>
          <w:ilvl w:val="0"/>
          <w:numId w:val="1001"/>
        </w:numPr>
        <w:pStyle w:val="Compact"/>
      </w:pPr>
      <w:r>
        <w:rPr>
          <w:bCs/>
          <w:b/>
        </w:rPr>
        <w:t xml:space="preserve">Revenue Impact:</w:t>
      </w:r>
      <w:r>
        <w:t xml:space="preserve"> </w:t>
      </w:r>
      <w:r>
        <w:t xml:space="preserve">$2.4M in Q3 revenue from Shanghai alone—accounting for 68% of total China regional sales</w:t>
      </w:r>
    </w:p>
    <w:p>
      <w:pPr>
        <w:numPr>
          <w:ilvl w:val="0"/>
          <w:numId w:val="1001"/>
        </w:numPr>
        <w:pStyle w:val="Compact"/>
      </w:pPr>
      <w:r>
        <w:rPr>
          <w:bCs/>
          <w:b/>
        </w:rPr>
        <w:t xml:space="preserve">NPS Score:</w:t>
      </w:r>
      <w:r>
        <w:t xml:space="preserve"> </w:t>
      </w:r>
      <w:r>
        <w:t xml:space="preserve">78 among secondary teachers (exceeding industry average of 52), driven by features addressing Shanghai-specific needs like "Gaokao-aligned assessment templates"</w:t>
      </w:r>
    </w:p>
    <w:bookmarkEnd w:id="22"/>
    <w:bookmarkStart w:id="23" w:name="Xe5def9e5024c0e7e1806a73e240287bdc37cffe"/>
    <w:p>
      <w:pPr>
        <w:pStyle w:val="Heading2"/>
      </w:pPr>
      <w:r>
        <w:t xml:space="preserve">Strategic Initiatives Driving Success in China Shanghai</w:t>
      </w:r>
    </w:p>
    <w:p>
      <w:pPr>
        <w:pStyle w:val="FirstParagraph"/>
      </w:pPr>
      <w:r>
        <w:t xml:space="preserve">The following initiatives were pivotal in accelerating Teacher Secondary adoption across Shanghai:</w:t>
      </w:r>
    </w:p>
    <w:p>
      <w:pPr>
        <w:numPr>
          <w:ilvl w:val="0"/>
          <w:numId w:val="1002"/>
        </w:numPr>
        <w:pStyle w:val="Compact"/>
      </w:pPr>
      <w:r>
        <w:rPr>
          <w:bCs/>
          <w:b/>
        </w:rPr>
        <w:t xml:space="preserve">Local Curriculum Integration:</w:t>
      </w:r>
      <w:r>
        <w:t xml:space="preserve"> </w:t>
      </w:r>
      <w:r>
        <w:t xml:space="preserve">Co-developed content with SMEC-approved secondary curricula for Grades 7-12. Our platform now includes 100% of Shanghai's mandated textbook units, reducing teacher preparation time by an average of 3.2 hours/week.</w:t>
      </w:r>
    </w:p>
    <w:p>
      <w:pPr>
        <w:numPr>
          <w:ilvl w:val="0"/>
          <w:numId w:val="1002"/>
        </w:numPr>
        <w:pStyle w:val="Compact"/>
      </w:pPr>
      <w:r>
        <w:rPr>
          <w:bCs/>
          <w:b/>
        </w:rPr>
        <w:t xml:space="preserve">Teacher Certification Partnerships:</w:t>
      </w:r>
      <w:r>
        <w:t xml:space="preserve"> </w:t>
      </w:r>
      <w:r>
        <w:t xml:space="preserve">Launched a co-branded professional development program with Shanghai Teachers' Training Center, offering micro-credentials for platform proficiency—directly aligning with the city's new teacher competency framework.</w:t>
      </w:r>
    </w:p>
    <w:p>
      <w:pPr>
        <w:numPr>
          <w:ilvl w:val="0"/>
          <w:numId w:val="1002"/>
        </w:numPr>
        <w:pStyle w:val="Compact"/>
      </w:pPr>
      <w:r>
        <w:rPr>
          <w:bCs/>
          <w:b/>
        </w:rPr>
        <w:t xml:space="preserve">On-Site Implementation Teams:</w:t>
      </w:r>
      <w:r>
        <w:t xml:space="preserve"> </w:t>
      </w:r>
      <w:r>
        <w:t xml:space="preserve">Deployed 12 Shanghai-based education consultants who conduct weekly classroom observations and customized platform training, resulting in 91% retention after first year of implementation.</w:t>
      </w:r>
    </w:p>
    <w:bookmarkEnd w:id="23"/>
    <w:bookmarkStart w:id="24" w:name="challenges-mitigation-strategies"/>
    <w:p>
      <w:pPr>
        <w:pStyle w:val="Heading2"/>
      </w:pPr>
      <w:r>
        <w:t xml:space="preserve">Challenges &amp; Mitigation Strategies</w:t>
      </w:r>
    </w:p>
    <w:p>
      <w:pPr>
        <w:pStyle w:val="FirstParagraph"/>
      </w:pPr>
      <w:r>
        <w:t xml:space="preserve">While results were strong, two challenges emerged requiring rapid adaptation:</w:t>
      </w:r>
    </w:p>
    <w:p>
      <w:pPr>
        <w:numPr>
          <w:ilvl w:val="0"/>
          <w:numId w:val="1003"/>
        </w:numPr>
        <w:pStyle w:val="Compact"/>
      </w:pPr>
      <w:r>
        <w:rPr>
          <w:iCs/>
          <w:i/>
        </w:rPr>
        <w:t xml:space="preserve">Challenge 1:</w:t>
      </w:r>
      <w:r>
        <w:t xml:space="preserve"> </w:t>
      </w:r>
      <w:r>
        <w:t xml:space="preserve">Initial resistance from veteran secondary teachers hesitant to adopt new technology.</w:t>
      </w:r>
      <w:r>
        <w:t xml:space="preserve"> </w:t>
      </w:r>
      <w:r>
        <w:rPr>
          <w:iCs/>
          <w:i/>
        </w:rPr>
        <w:t xml:space="preserve">Mitigation:</w:t>
      </w:r>
      <w:r>
        <w:t xml:space="preserve"> </w:t>
      </w:r>
      <w:r>
        <w:t xml:space="preserve">Launched "Peer Ambassador" program where Shanghai schools appointed tech-savvy secondary teachers as internal champions—reducing adoption friction by 55%.</w:t>
      </w:r>
    </w:p>
    <w:p>
      <w:pPr>
        <w:numPr>
          <w:ilvl w:val="0"/>
          <w:numId w:val="1003"/>
        </w:numPr>
        <w:pStyle w:val="Compact"/>
      </w:pPr>
      <w:r>
        <w:rPr>
          <w:iCs/>
          <w:i/>
        </w:rPr>
        <w:t xml:space="preserve">Challenge 2:</w:t>
      </w:r>
      <w:r>
        <w:t xml:space="preserve"> </w:t>
      </w:r>
      <w:r>
        <w:t xml:space="preserve">Competition from domestic edtech firms offering cheaper, less customized solutions.</w:t>
      </w:r>
      <w:r>
        <w:t xml:space="preserve"> </w:t>
      </w:r>
      <w:r>
        <w:rPr>
          <w:iCs/>
          <w:i/>
        </w:rPr>
        <w:t xml:space="preserve">Mitigation:</w:t>
      </w:r>
      <w:r>
        <w:t xml:space="preserve"> </w:t>
      </w:r>
      <w:r>
        <w:t xml:space="preserve">Differentiated through Shanghai-specific compliance (e.g., data sovereignty under China's Personal Information Protection Law) and superior pedagogical alignment—proven in a third-party study commissioned by SMEC.</w:t>
      </w:r>
    </w:p>
    <w:bookmarkEnd w:id="24"/>
    <w:bookmarkStart w:id="25" w:name="X08fef6bc3e075c5d92d2019ccf0872d6434cf18"/>
    <w:p>
      <w:pPr>
        <w:pStyle w:val="Heading2"/>
      </w:pPr>
      <w:r>
        <w:t xml:space="preserve">Q4 Roadmap: Scaling Teacher Secondary Solutions Across China Shanghai</w:t>
      </w:r>
    </w:p>
    <w:p>
      <w:pPr>
        <w:pStyle w:val="FirstParagraph"/>
      </w:pPr>
      <w:r>
        <w:t xml:space="preserve">Building on Q3 momentum, our strategic priorities for Shanghai focus on deepening Teacher Secondary integration:</w:t>
      </w:r>
    </w:p>
    <w:p>
      <w:pPr>
        <w:numPr>
          <w:ilvl w:val="0"/>
          <w:numId w:val="1004"/>
        </w:numPr>
        <w:pStyle w:val="Compact"/>
      </w:pPr>
      <w:r>
        <w:rPr>
          <w:bCs/>
          <w:b/>
        </w:rPr>
        <w:t xml:space="preserve">Expand to Tier-2 Districts:</w:t>
      </w:r>
      <w:r>
        <w:t xml:space="preserve"> </w:t>
      </w:r>
      <w:r>
        <w:t xml:space="preserve">Target 15 new schools in Pudong and Minhang districts—home to 40% of Shanghai's secondary student population.</w:t>
      </w:r>
    </w:p>
    <w:p>
      <w:pPr>
        <w:numPr>
          <w:ilvl w:val="0"/>
          <w:numId w:val="1004"/>
        </w:numPr>
        <w:pStyle w:val="Compact"/>
      </w:pPr>
      <w:r>
        <w:rPr>
          <w:bCs/>
          <w:b/>
        </w:rPr>
        <w:t xml:space="preserve">Integrate with Government Platforms:</w:t>
      </w:r>
      <w:r>
        <w:t xml:space="preserve"> </w:t>
      </w:r>
      <w:r>
        <w:t xml:space="preserve">Partner with Shanghai Education Cloud (a state-mandated digital hub) for single-sign-on access, eliminating login barriers for teachers.</w:t>
      </w:r>
    </w:p>
    <w:p>
      <w:pPr>
        <w:numPr>
          <w:ilvl w:val="0"/>
          <w:numId w:val="1004"/>
        </w:numPr>
        <w:pStyle w:val="Compact"/>
      </w:pPr>
      <w:r>
        <w:rPr>
          <w:bCs/>
          <w:b/>
        </w:rPr>
        <w:t xml:space="preserve">Launch Gaokao Predictive Analytics:</w:t>
      </w:r>
      <w:r>
        <w:t xml:space="preserve"> </w:t>
      </w:r>
      <w:r>
        <w:t xml:space="preserve">Develop AI module forecasting student performance based on Shanghai's unique exam patterns—addressing the top request from 200+ secondary school principals surveyed in Q3.</w:t>
      </w:r>
    </w:p>
    <w:bookmarkEnd w:id="25"/>
    <w:bookmarkStart w:id="26" w:name="Xa36b39df401f24ab3d7d6c4fdd85feae5225de0"/>
    <w:p>
      <w:pPr>
        <w:pStyle w:val="Heading2"/>
      </w:pPr>
      <w:r>
        <w:t xml:space="preserve">Conclusion: The Teacher Secondary Imperative in Shanghai</w:t>
      </w:r>
    </w:p>
    <w:p>
      <w:pPr>
        <w:pStyle w:val="FirstParagraph"/>
      </w:pPr>
      <w:r>
        <w:t xml:space="preserve">The China Shanghai market has proven that specialized Teacher Secondary solutions are no longer optional—they are central to educational excellence. Our Q3 performance demonstrates that when products directly address Shanghai's policy-driven priorities (e.g., Gaokao readiness, teacher development), commercial success follows naturally. The 37% YoY growth is not merely a sales figure; it reflects the city's recognition that effective teaching at secondary level requires modernized, data-informed tools. As Shanghai accelerates its "Digital Education Hub" initiative through 2025, our Teacher Secondary platform is positioned as the operational backbone for next-generation educators. We recommend allocating 65% of Q4 marketing spend to Shanghai-specific campaigns to capture this strategic opportunity before the end-of-year budget cycle closes.</w:t>
      </w:r>
    </w:p>
    <w:p>
      <w:pPr>
        <w:pStyle w:val="BodyText"/>
      </w:pPr>
      <w:r>
        <w:rPr>
          <w:bCs/>
          <w:b/>
        </w:rPr>
        <w:t xml:space="preserve">Prepared By:</w:t>
      </w:r>
      <w:r>
        <w:t xml:space="preserve"> </w:t>
      </w:r>
      <w:r>
        <w:t xml:space="preserve">Asia-Pacific Sales Strategy Team</w:t>
      </w:r>
      <w:r>
        <w:br/>
      </w:r>
      <w:r>
        <w:rPr>
          <w:bCs/>
          <w:b/>
        </w:rPr>
        <w:t xml:space="preserve">Confidentiality:</w:t>
      </w:r>
      <w:r>
        <w:t xml:space="preserve"> </w:t>
      </w:r>
      <w:r>
        <w:t xml:space="preserve">This report contains proprietary information for internal use only. Distribution requires approval from the Executive Director of Education Solutions.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Teacher Secondary Solutions for China Shanghai Market</dc:title>
  <dc:creator/>
  <dc:language>en</dc:language>
  <cp:keywords/>
  <dcterms:created xsi:type="dcterms:W3CDTF">2026-07-24T00:20:20Z</dcterms:created>
  <dcterms:modified xsi:type="dcterms:W3CDTF">2026-07-24T00:20:20Z</dcterms:modified>
</cp:coreProperties>
</file>

<file path=docProps/custom.xml><?xml version="1.0" encoding="utf-8"?>
<Properties xmlns="http://schemas.openxmlformats.org/officeDocument/2006/custom-properties" xmlns:vt="http://schemas.openxmlformats.org/officeDocument/2006/docPropsVTypes"/>
</file>