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Colombia</w:t>
      </w:r>
      <w:r>
        <w:t xml:space="preserve"> </w:t>
      </w:r>
      <w:r>
        <w:t xml:space="preserve">Bogotá</w:t>
      </w:r>
    </w:p>
    <w:bookmarkStart w:id="26" w:name="Xa885c631769718e996fcd9f5e11281beb7b2856"/>
    <w:p>
      <w:pPr>
        <w:pStyle w:val="Heading1"/>
      </w:pPr>
      <w:r>
        <w:t xml:space="preserve">Comprehensive Sales Report: Teacher Secondary Educational Solutions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Stakeholders</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presents a detailed analysis of sales performance for Teacher Secondary educational solutions across Colombia Bogotá during the third quarter of 2023. As the capital city and education hub of Colombia, Bogotá represents a critical market where our specialized secondary teacher resources have achieved significant traction. The Q3 period demonstrated a 18.7% year-over-year increase in sales revenue, driven by strategic partnerships with Bogotá's public and private secondary institutions. Our focus on culturally relevant curriculum support materials for Teacher Secondary professionals has positioned us as a key supplier in Colombia's educational ecosystem, directly addressing the unique pedagogical challenges faced by educators in Bogotá's diverse urban landscape. This report details market dynamics, sales metrics, and actionable recommendations to sustain growth in this vital sector.</w:t>
      </w:r>
    </w:p>
    <w:bookmarkEnd w:id="20"/>
    <w:bookmarkStart w:id="21" w:name="X49d6377c7d7ed4d4b83820245b547f93b553dbe"/>
    <w:p>
      <w:pPr>
        <w:pStyle w:val="Heading2"/>
      </w:pPr>
      <w:r>
        <w:t xml:space="preserve">II. Market Analysis: Teacher Secondary Landscape in Colombia Bogotá</w:t>
      </w:r>
    </w:p>
    <w:p>
      <w:pPr>
        <w:pStyle w:val="FirstParagraph"/>
      </w:pPr>
      <w:r>
        <w:t xml:space="preserve">Bogotá's secondary education sector (ages 12-18) serves over 750,000 students across 944 public and private institutions, making it Colombia's largest educational market. The Colombian Ministry of Education's recent curricular reforms have intensified demand for specialized Teacher Secondary resources that align with national standards while addressing Bogotá-specific socio-economic challenges. Our research indicates that 68% of secondary teachers in Bogotá report needing localized teaching materials to address classroom diversity, including students from informal settlements (barrios) and migrant communities. This presents a significant opportunity for tailored educational solutions.</w:t>
      </w:r>
    </w:p>
    <w:p>
      <w:pPr>
        <w:pStyle w:val="BodyText"/>
      </w:pPr>
      <w:r>
        <w:t xml:space="preserve">Notably, Bogotá's education budget allocations for 2023 show a 15% increase in digital learning resources—directly benefiting our tablet-based interactive curriculum platforms designed specifically for Teacher Secondary use. The city's aggressive implementation of "Bogotá Educada" initiatives has created a receptive environment where schools actively seek partnerships with vendors offering culturally responsive content. We've observed particular demand for STEM integration tools and socio-emotional learning modules among secondary teachers, reflecting Bogotá's focus on holistic student development.</w:t>
      </w:r>
    </w:p>
    <w:bookmarkEnd w:id="21"/>
    <w:bookmarkStart w:id="22" w:name="X0f712852ae66b25c5927590ddf389ed057f415e"/>
    <w:p>
      <w:pPr>
        <w:pStyle w:val="Heading2"/>
      </w:pPr>
      <w:r>
        <w:t xml:space="preserve">III. Q3 2023 Sales Performance: Colombia Bogotá</w:t>
      </w:r>
    </w:p>
    <w:p>
      <w:pPr>
        <w:pStyle w:val="FirstParagraph"/>
      </w:pPr>
      <w:r>
        <w:rPr>
          <w:bCs/>
          <w:b/>
        </w:rPr>
        <w:t xml:space="preserve">Total Revenue:</w:t>
      </w:r>
      <w:r>
        <w:t xml:space="preserve"> </w:t>
      </w:r>
      <w:r>
        <w:t xml:space="preserve">$487,500 (18.7% YoY growth from $410,650 in Q3 2022)</w:t>
      </w:r>
      <w:r>
        <w:br/>
      </w:r>
      <w:r>
        <w:rPr>
          <w:bCs/>
          <w:b/>
        </w:rPr>
        <w:t xml:space="preserve">New School Partnerships:</w:t>
      </w:r>
      <w:r>
        <w:t xml:space="preserve"> </w:t>
      </w:r>
      <w:r>
        <w:t xml:space="preserve">37 institutions (vs. 29 in Q3 2022)</w:t>
      </w:r>
      <w:r>
        <w:br/>
      </w:r>
      <w:r>
        <w:rPr>
          <w:bCs/>
          <w:b/>
        </w:rPr>
        <w:t xml:space="preserve">Key Product Categories Driving Sales:</w:t>
      </w:r>
    </w:p>
    <w:p>
      <w:pPr>
        <w:numPr>
          <w:ilvl w:val="0"/>
          <w:numId w:val="1001"/>
        </w:numPr>
        <w:pStyle w:val="Compact"/>
      </w:pPr>
      <w:r>
        <w:rPr>
          <w:iCs/>
          <w:i/>
        </w:rPr>
        <w:t xml:space="preserve">Curriculum Alignment Kits</w:t>
      </w:r>
      <w:r>
        <w:t xml:space="preserve">: $195,000 (40% of total revenue) - Tailored to Colombia's National Curriculum Framework (NCF) for secondary grades.</w:t>
      </w:r>
    </w:p>
    <w:p>
      <w:pPr>
        <w:numPr>
          <w:ilvl w:val="0"/>
          <w:numId w:val="1001"/>
        </w:numPr>
        <w:pStyle w:val="Compact"/>
      </w:pPr>
      <w:r>
        <w:rPr>
          <w:iCs/>
          <w:i/>
        </w:rPr>
        <w:t xml:space="preserve">Teacher Professional Development Workshops</w:t>
      </w:r>
      <w:r>
        <w:t xml:space="preserve">: $152,250 (31%) - Focused on Bogotá-specific challenges including classroom management in multi-grade settings.</w:t>
      </w:r>
    </w:p>
    <w:p>
      <w:pPr>
        <w:numPr>
          <w:ilvl w:val="0"/>
          <w:numId w:val="1001"/>
        </w:numPr>
        <w:pStyle w:val="Compact"/>
      </w:pPr>
      <w:r>
        <w:rPr>
          <w:iCs/>
          <w:i/>
        </w:rPr>
        <w:t xml:space="preserve">Digital Resource Subscriptions</w:t>
      </w:r>
      <w:r>
        <w:t xml:space="preserve">: $139,250 (28%) - Including our flagship "Aula Digital" platform adopted by 42% of new partners.</w:t>
      </w:r>
    </w:p>
    <w:p>
      <w:pPr>
        <w:pStyle w:val="FirstParagraph"/>
      </w:pPr>
      <w:r>
        <w:t xml:space="preserve">Geographic Distribution within Bogotá shows strongest performance in the districts of San Cristóbal (32% market share), Santa Fe (27%), and La Candelaria (19%), reflecting both school density and strategic partnership focus. Notably, 63% of new sales came from public secondary schools—a sector we've prioritized through Bogotá's municipal education innovation grants.</w:t>
      </w:r>
    </w:p>
    <w:bookmarkEnd w:id="22"/>
    <w:bookmarkStart w:id="23" w:name="X0fdb3649b4912787158b1bbb0e91bad9c0eb010"/>
    <w:p>
      <w:pPr>
        <w:pStyle w:val="Heading2"/>
      </w:pPr>
      <w:r>
        <w:t xml:space="preserve">IV. Key Challenges in Teacher Secondary Sales Execution</w:t>
      </w:r>
    </w:p>
    <w:p>
      <w:pPr>
        <w:pStyle w:val="FirstParagraph"/>
      </w:pPr>
      <w:r>
        <w:t xml:space="preserve">Despite robust growth, several market-specific challenges impacted Q3 operations:</w:t>
      </w:r>
    </w:p>
    <w:p>
      <w:pPr>
        <w:numPr>
          <w:ilvl w:val="0"/>
          <w:numId w:val="1002"/>
        </w:numPr>
        <w:pStyle w:val="Compact"/>
      </w:pPr>
      <w:r>
        <w:rPr>
          <w:bCs/>
          <w:b/>
        </w:rPr>
        <w:t xml:space="preserve">Budget Constraints:</w:t>
      </w:r>
      <w:r>
        <w:t xml:space="preserve"> </w:t>
      </w:r>
      <w:r>
        <w:t xml:space="preserve">41% of Bogotá public schools operate under 15% annual education budget increases, requiring flexible payment plans for Teacher Secondary resources.</w:t>
      </w:r>
    </w:p>
    <w:p>
      <w:pPr>
        <w:numPr>
          <w:ilvl w:val="0"/>
          <w:numId w:val="1002"/>
        </w:numPr>
        <w:pStyle w:val="Compact"/>
      </w:pPr>
      <w:r>
        <w:rPr>
          <w:bCs/>
          <w:b/>
        </w:rPr>
        <w:t xml:space="preserve">Cultural Alignment Needs:</w:t>
      </w:r>
      <w:r>
        <w:t xml:space="preserve"> </w:t>
      </w:r>
      <w:r>
        <w:t xml:space="preserve">Initial product launches failed to incorporate regional dialects and local context (e.g., Andean vs. Caribbean references), prompting retooling of all materials.</w:t>
      </w:r>
    </w:p>
    <w:p>
      <w:pPr>
        <w:numPr>
          <w:ilvl w:val="0"/>
          <w:numId w:val="1002"/>
        </w:numPr>
        <w:pStyle w:val="Compact"/>
      </w:pPr>
      <w:r>
        <w:rPr>
          <w:bCs/>
          <w:b/>
        </w:rPr>
        <w:t xml:space="preserve">Competitive Landscape:</w:t>
      </w:r>
      <w:r>
        <w:t xml:space="preserve"> </w:t>
      </w:r>
      <w:r>
        <w:t xml:space="preserve">Local publishers have increased aggressive pricing, particularly for textbook bundles targeting Teacher Secondary markets.</w:t>
      </w:r>
    </w:p>
    <w:p>
      <w:pPr>
        <w:pStyle w:val="FirstParagraph"/>
      </w:pPr>
      <w:r>
        <w:t xml:space="preserve">These challenges necessitated rapid adaptation through our Bogotá-based sales team's deep community engagement—establishing 12 teacher advisory councils across the city to co-design solutions.</w:t>
      </w:r>
    </w:p>
    <w:bookmarkEnd w:id="23"/>
    <w:bookmarkStart w:id="24" w:name="Xd83e7de6ae155e99d3dd627dcdc1a0ee0f54913"/>
    <w:p>
      <w:pPr>
        <w:pStyle w:val="Heading2"/>
      </w:pPr>
      <w:r>
        <w:t xml:space="preserve">V. Strategic Recommendations for Colombia Bogotá Market</w:t>
      </w:r>
    </w:p>
    <w:p>
      <w:pPr>
        <w:pStyle w:val="FirstParagraph"/>
      </w:pPr>
      <w:r>
        <w:t xml:space="preserve">To capitalize on Bogotá's secondary education growth trajectory, we propose these targeted actions:</w:t>
      </w:r>
    </w:p>
    <w:p>
      <w:pPr>
        <w:numPr>
          <w:ilvl w:val="0"/>
          <w:numId w:val="1003"/>
        </w:numPr>
        <w:pStyle w:val="Compact"/>
      </w:pPr>
      <w:r>
        <w:rPr>
          <w:bCs/>
          <w:b/>
        </w:rPr>
        <w:t xml:space="preserve">Hyper-Localized Content Development:</w:t>
      </w:r>
      <w:r>
        <w:t xml:space="preserve"> </w:t>
      </w:r>
      <w:r>
        <w:t xml:space="preserve">Allocate 15% of Q4 R&amp;D budget to create region-specific materials reflecting Bogotá's cultural diversity (e.g., modules on local history for social studies). This directly responds to feedback from 89% of surveyed Teacher Secondary educators.</w:t>
      </w:r>
    </w:p>
    <w:p>
      <w:pPr>
        <w:numPr>
          <w:ilvl w:val="0"/>
          <w:numId w:val="1003"/>
        </w:numPr>
        <w:pStyle w:val="Compact"/>
      </w:pPr>
      <w:r>
        <w:rPr>
          <w:bCs/>
          <w:b/>
        </w:rPr>
        <w:t xml:space="preserve">School Network Expansion:</w:t>
      </w:r>
      <w:r>
        <w:t xml:space="preserve"> </w:t>
      </w:r>
      <w:r>
        <w:t xml:space="preserve">Target 20 additional public secondary institutions through Bogotá's "Escuelas de Excelencia" initiative, offering zero-cost pilot programs in exchange for case studies to strengthen our market position.</w:t>
      </w:r>
    </w:p>
    <w:p>
      <w:pPr>
        <w:numPr>
          <w:ilvl w:val="0"/>
          <w:numId w:val="1003"/>
        </w:numPr>
        <w:pStyle w:val="Compact"/>
      </w:pPr>
      <w:r>
        <w:rPr>
          <w:bCs/>
          <w:b/>
        </w:rPr>
        <w:t xml:space="preserve">Digital Infrastructure Partnerships:</w:t>
      </w:r>
      <w:r>
        <w:t xml:space="preserve"> </w:t>
      </w:r>
      <w:r>
        <w:t xml:space="preserve">Collaborate with Bogotá's municipal tech platform "Bogotá Digital" to integrate our Teacher Secondary resources into the city's centralized education portal, increasing accessibility by 70%.</w:t>
      </w:r>
    </w:p>
    <w:p>
      <w:pPr>
        <w:numPr>
          <w:ilvl w:val="0"/>
          <w:numId w:val="1003"/>
        </w:numPr>
        <w:pStyle w:val="Compact"/>
      </w:pPr>
      <w:r>
        <w:rPr>
          <w:bCs/>
          <w:b/>
        </w:rPr>
        <w:t xml:space="preserve">Tax Incentive Utilization:</w:t>
      </w:r>
      <w:r>
        <w:t xml:space="preserve"> </w:t>
      </w:r>
      <w:r>
        <w:t xml:space="preserve">Leverage Colombia's Law 1125 for educational investments to develop a tax-optimized pricing model for Bogotá schools, improving conversion rates by an estimated 25%.</w:t>
      </w:r>
    </w:p>
    <w:bookmarkEnd w:id="24"/>
    <w:bookmarkStart w:id="25" w:name="vi.-conclusion"/>
    <w:p>
      <w:pPr>
        <w:pStyle w:val="Heading2"/>
      </w:pPr>
      <w:r>
        <w:t xml:space="preserve">VI. Conclusion</w:t>
      </w:r>
    </w:p>
    <w:p>
      <w:pPr>
        <w:pStyle w:val="FirstParagraph"/>
      </w:pPr>
      <w:r>
        <w:t xml:space="preserve">The Q3 performance validates our strategic pivot toward serving Teacher Secondary professionals in Colombia Bogotá as a high-growth priority. Our solutions have proven particularly valuable amid Bogotá's educational transformation, where teachers face unprecedented demands for culturally responsive, curriculum-aligned materials. The 18.7% revenue growth demonstrates strong market acceptance of our approach to addressing the unique challenges faced by secondary educators in Colombia's capital city.</w:t>
      </w:r>
    </w:p>
    <w:p>
      <w:pPr>
        <w:pStyle w:val="BodyText"/>
      </w:pPr>
      <w:r>
        <w:t xml:space="preserve">Looking ahead, we must deepen our community integration within Bogotá's educational ecosystem—moving beyond transactional sales to become a trusted partner in teacher development. By embedding ourselves within Bogotá's education infrastructure through the "Bogotá Educada" initiative and leveraging local partnerships, we can capture 30% market share in Teacher Secondary resources within two years. This report confirms that Colombia Bogotá is not merely a sales territory but the strategic cornerstone for our entire Latin American educational solutions portfolio.</w:t>
      </w:r>
    </w:p>
    <w:p>
      <w:pPr>
        <w:pStyle w:val="BodyText"/>
      </w:pPr>
      <w:r>
        <w:rPr>
          <w:bCs/>
          <w:b/>
        </w:rPr>
        <w:t xml:space="preserve">Prepared By:</w:t>
      </w:r>
      <w:r>
        <w:t xml:space="preserve"> </w:t>
      </w:r>
      <w:r>
        <w:t xml:space="preserve">Regional Sales Leadership | Colombia Market Unit</w:t>
      </w:r>
      <w:r>
        <w:br/>
      </w:r>
      <w:r>
        <w:rPr>
          <w:bCs/>
          <w:b/>
        </w:rPr>
        <w:t xml:space="preserve">Contact:</w:t>
      </w:r>
      <w:r>
        <w:t xml:space="preserve"> </w:t>
      </w:r>
      <w:r>
        <w:t xml:space="preserve">m.santos@edusolutions.co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Colombia Bogotá</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