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8" w:name="X377cefed09f34e6e03c38840825641ad2b98645"/>
    <w:p>
      <w:pPr>
        <w:pStyle w:val="Heading1"/>
      </w:pPr>
      <w:r>
        <w:t xml:space="preserve">Sales Report: Teacher Secondary Professional Development Program Implementation and Performance in Egypt Alexandria</w:t>
      </w:r>
    </w:p>
    <w:p>
      <w:pPr>
        <w:pStyle w:val="FirstParagraph"/>
      </w:pPr>
      <w:r>
        <w:rPr>
          <w:bCs/>
          <w:b/>
        </w:rPr>
        <w:t xml:space="preserve">Prepared For:</w:t>
      </w:r>
      <w:r>
        <w:t xml:space="preserve"> </w:t>
      </w:r>
      <w:r>
        <w:t xml:space="preserve">National Education Solutions Group</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sales performance and market penetration of our specialized Teacher Secondary Professional Development Program across Alexandria, Egypt. Alexandria remains a critical growth market within our national strategy, representing 18% of total secondary school teacher training demand in northern Egypt. The program focuses exclusively on enhancing pedagogical skills for teachers instructing grades 10-12 (Secondary Level), directly addressing the Egyptian Ministry of Education's priorities for STEM and digital literacy integration. During Q3 2023, we achieved a 32% year-on-year sales growth in Alexandria, securing contracts with 47 new secondary schools across Governorate districts (including Montaza, Sidi Gaber, and Manshiet El-Bakry). Total revenue for the Alexandria market reached EGP 1.85 million ($52,000), exceeding our quarterly target by 15%. This success underscores Alexandria's strategic importance as a hub for educational innovation in Egypt.</w:t>
      </w:r>
    </w:p>
    <w:bookmarkEnd w:id="20"/>
    <w:bookmarkStart w:id="21" w:name="Xe015e624f8939862b9388410b4d8c852830e98c"/>
    <w:p>
      <w:pPr>
        <w:pStyle w:val="Heading2"/>
      </w:pPr>
      <w:r>
        <w:t xml:space="preserve">II. Regional Market Analysis: Egypt Alexandria Context</w:t>
      </w:r>
    </w:p>
    <w:p>
      <w:pPr>
        <w:pStyle w:val="FirstParagraph"/>
      </w:pPr>
      <w:r>
        <w:t xml:space="preserve">Alexandria presents unique opportunities and challenges for secondary teacher development. With over 800 public secondary schools serving approximately 150,000 students, the city requires tailored solutions addressing:</w:t>
      </w:r>
    </w:p>
    <w:p>
      <w:pPr>
        <w:numPr>
          <w:ilvl w:val="0"/>
          <w:numId w:val="1001"/>
        </w:numPr>
        <w:pStyle w:val="Compact"/>
      </w:pPr>
      <w:r>
        <w:t xml:space="preserve">High student-to-teacher ratios in coastal districts (e.g., El-Salam, Sidi Gaber).</w:t>
      </w:r>
    </w:p>
    <w:p>
      <w:pPr>
        <w:numPr>
          <w:ilvl w:val="0"/>
          <w:numId w:val="1001"/>
        </w:numPr>
        <w:pStyle w:val="Compact"/>
      </w:pPr>
      <w:r>
        <w:t xml:space="preserve">Mandated curriculum updates from the Ministry of Education's "Egypt Vision 2030" initiative.</w:t>
      </w:r>
    </w:p>
    <w:p>
      <w:pPr>
        <w:numPr>
          <w:ilvl w:val="0"/>
          <w:numId w:val="1001"/>
        </w:numPr>
        <w:pStyle w:val="Compact"/>
      </w:pPr>
      <w:r>
        <w:t xml:space="preserve">Strong demand for digital tools to support blended learning models post-pandemic.</w:t>
      </w:r>
    </w:p>
    <w:p>
      <w:pPr>
        <w:pStyle w:val="FirstParagraph"/>
      </w:pPr>
      <w:r>
        <w:t xml:space="preserve">The Alexandria Governorate Education Office has prioritized teacher capacity building, allocating EGP 5 million annually for professional development programs. Our Teacher Secondary program aligns precisely with this mandate, offering certified modules in:</w:t>
      </w:r>
    </w:p>
    <w:p>
      <w:pPr>
        <w:numPr>
          <w:ilvl w:val="0"/>
          <w:numId w:val="1002"/>
        </w:numPr>
        <w:pStyle w:val="Compact"/>
      </w:pPr>
      <w:r>
        <w:t xml:space="preserve">STEM Curriculum Implementation (Physics, Chemistry)</w:t>
      </w:r>
    </w:p>
    <w:p>
      <w:pPr>
        <w:numPr>
          <w:ilvl w:val="0"/>
          <w:numId w:val="1002"/>
        </w:numPr>
        <w:pStyle w:val="Compact"/>
      </w:pPr>
      <w:r>
        <w:t xml:space="preserve">Digital Classroom Management (Using Egyptian Ministry-approved platforms)</w:t>
      </w:r>
    </w:p>
    <w:p>
      <w:pPr>
        <w:numPr>
          <w:ilvl w:val="0"/>
          <w:numId w:val="1002"/>
        </w:numPr>
        <w:pStyle w:val="Compact"/>
      </w:pPr>
      <w:r>
        <w:t xml:space="preserve">Mental Health &amp; Student Engagement Strategies for Adolescent Learners</w:t>
      </w:r>
    </w:p>
    <w:bookmarkEnd w:id="21"/>
    <w:bookmarkStart w:id="23" w:name="Xa23e0dc4516ede2d2fedeee4a92a0671384d7de"/>
    <w:p>
      <w:pPr>
        <w:pStyle w:val="Heading2"/>
      </w:pPr>
      <w:r>
        <w:t xml:space="preserve">III. Sales Performance: Teacher Secondary Program in Egypt Alexandria</w:t>
      </w:r>
    </w:p>
    <w:p>
      <w:pPr>
        <w:pStyle w:val="FirstParagraph"/>
      </w:pPr>
      <w:r>
        <w:t xml:space="preserve">Key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New School Contracts Secured</w:t>
      </w:r>
    </w:p>
    <w:p>
      <w:pPr>
        <w:pStyle w:val="BodyText"/>
      </w:pPr>
      <w:r>
        <w:t xml:space="preserve">47 schools</w:t>
      </w:r>
    </w:p>
    <w:p>
      <w:pPr>
        <w:pStyle w:val="BodyText"/>
      </w:pPr>
      <w:r>
        <w:t xml:space="preserve">35 schools</w:t>
      </w:r>
    </w:p>
    <w:p>
      <w:pPr>
        <w:pStyle w:val="BodyText"/>
      </w:pPr>
      <w:r>
        <w:t xml:space="preserve">+34.3%</w:t>
      </w:r>
    </w:p>
    <w:p>
      <w:pPr>
        <w:pStyle w:val="BodyText"/>
      </w:pPr>
      <w:r>
        <w:t xml:space="preserve">Total Revenue (EGP)</w:t>
      </w:r>
    </w:p>
    <w:p>
      <w:pPr>
        <w:pStyle w:val="BodyText"/>
      </w:pPr>
      <w:r>
        <w:br/>
      </w:r>
    </w:p>
    <w:bookmarkStart w:id="22" w:name="key-achievements"/>
    <w:p>
      <w:pPr>
        <w:pStyle w:val="Heading3"/>
      </w:pPr>
      <w:r>
        <w:t xml:space="preserve">Key Achievements:</w:t>
      </w:r>
    </w:p>
    <w:p>
      <w:pPr>
        <w:numPr>
          <w:ilvl w:val="0"/>
          <w:numId w:val="1003"/>
        </w:numPr>
        <w:pStyle w:val="Compact"/>
      </w:pPr>
      <w:r>
        <w:rPr>
          <w:bCs/>
          <w:b/>
        </w:rPr>
        <w:t xml:space="preserve">Market Penetration:</w:t>
      </w:r>
      <w:r>
        <w:t xml:space="preserve"> </w:t>
      </w:r>
      <w:r>
        <w:t xml:space="preserve">Achieved 22% market share among public secondary schools in Alexandria (up from 16% in Q2 2023).</w:t>
      </w:r>
    </w:p>
    <w:p>
      <w:pPr>
        <w:numPr>
          <w:ilvl w:val="0"/>
          <w:numId w:val="1003"/>
        </w:numPr>
        <w:pStyle w:val="Compact"/>
      </w:pPr>
      <w:r>
        <w:rPr>
          <w:bCs/>
          <w:b/>
        </w:rPr>
        <w:t xml:space="preserve">School Type Coverage:</w:t>
      </w:r>
      <w:r>
        <w:t xml:space="preserve"> </w:t>
      </w:r>
      <w:r>
        <w:t xml:space="preserve">Secured contracts across diverse school types:</w:t>
      </w:r>
    </w:p>
    <w:p>
      <w:pPr>
        <w:numPr>
          <w:ilvl w:val="1"/>
          <w:numId w:val="1004"/>
        </w:numPr>
        <w:pStyle w:val="Compact"/>
      </w:pPr>
      <w:r>
        <w:t xml:space="preserve">47% Technical Secondary Schools</w:t>
      </w:r>
    </w:p>
    <w:p>
      <w:pPr>
        <w:numPr>
          <w:ilvl w:val="1"/>
          <w:numId w:val="1004"/>
        </w:numPr>
        <w:pStyle w:val="Compact"/>
      </w:pPr>
      <w:r>
        <w:t xml:space="preserve">38% General Secondary Schools (Arabic/English Medium)</w:t>
      </w:r>
    </w:p>
    <w:p>
      <w:pPr>
        <w:numPr>
          <w:ilvl w:val="1"/>
          <w:numId w:val="1004"/>
        </w:numPr>
        <w:pStyle w:val="Compact"/>
      </w:pPr>
      <w:r>
        <w:t xml:space="preserve">15% Mixed-Subject Governorate Centers</w:t>
      </w:r>
    </w:p>
    <w:p>
      <w:pPr>
        <w:numPr>
          <w:ilvl w:val="0"/>
          <w:numId w:val="1003"/>
        </w:numPr>
        <w:pStyle w:val="Compact"/>
      </w:pPr>
      <w:r>
        <w:rPr>
          <w:bCs/>
          <w:b/>
        </w:rPr>
        <w:t xml:space="preserve">Solution Adoption:</w:t>
      </w:r>
      <w:r>
        <w:t xml:space="preserve"> </w:t>
      </w:r>
      <w:r>
        <w:t xml:space="preserve">92% of new contracts included the premium "Digital Integration" add-on module, reflecting high demand for modern teaching tools.</w:t>
      </w:r>
    </w:p>
    <w:bookmarkEnd w:id="22"/>
    <w:bookmarkEnd w:id="23"/>
    <w:bookmarkStart w:id="24" w:name="X0e3164c461836d66e56995aecd8d1a68450efe2"/>
    <w:p>
      <w:pPr>
        <w:pStyle w:val="Heading2"/>
      </w:pPr>
      <w:r>
        <w:t xml:space="preserve">IV. Strategic Initiatives Driving Success in Alexandria</w:t>
      </w:r>
    </w:p>
    <w:p>
      <w:pPr>
        <w:pStyle w:val="FirstParagraph"/>
      </w:pPr>
      <w:r>
        <w:t xml:space="preserve">Our Q3 success stemmed from three Alexandria-specific strategies:</w:t>
      </w:r>
    </w:p>
    <w:p>
      <w:pPr>
        <w:numPr>
          <w:ilvl w:val="0"/>
          <w:numId w:val="1005"/>
        </w:numPr>
        <w:pStyle w:val="Compact"/>
      </w:pPr>
      <w:r>
        <w:rPr>
          <w:bCs/>
          <w:b/>
        </w:rPr>
        <w:t xml:space="preserve">Localization Partnership with Al-Azhar University (Alexandria Branch):</w:t>
      </w:r>
      <w:r>
        <w:t xml:space="preserve"> </w:t>
      </w:r>
      <w:r>
        <w:t xml:space="preserve">Co-developed curriculum content approved by the Egyptian Ministry of Education's Higher Council for Education. This partnership significantly boosted credibility, securing 28 contracts in Q3 alone.</w:t>
      </w:r>
    </w:p>
    <w:p>
      <w:pPr>
        <w:numPr>
          <w:ilvl w:val="0"/>
          <w:numId w:val="1005"/>
        </w:numPr>
        <w:pStyle w:val="Compact"/>
      </w:pPr>
      <w:r>
        <w:rPr>
          <w:bCs/>
          <w:b/>
        </w:rPr>
        <w:t xml:space="preserve">Geo-Targeted Outreach:</w:t>
      </w:r>
      <w:r>
        <w:t xml:space="preserve"> </w:t>
      </w:r>
      <w:r>
        <w:t xml:space="preserve">Deployed field teams in Alexandria's key educational zones (e.g., Sidi Gaber, El-Shatby) conducting workshops at district-level education offices – directly engaging secondary school principals and supervisors.</w:t>
      </w:r>
    </w:p>
    <w:p>
      <w:pPr>
        <w:numPr>
          <w:ilvl w:val="0"/>
          <w:numId w:val="1005"/>
        </w:numPr>
        <w:pStyle w:val="Compact"/>
      </w:pPr>
      <w:r>
        <w:rPr>
          <w:bCs/>
          <w:b/>
        </w:rPr>
        <w:t xml:space="preserve">Government Compliance Framework:</w:t>
      </w:r>
      <w:r>
        <w:t xml:space="preserve"> </w:t>
      </w:r>
      <w:r>
        <w:t xml:space="preserve">All Teacher Secondary modules meet the exact specifications of Egypt's National Standard for Teacher Training (NSTD), ensuring seamless integration into Alexandria's existing education management system.</w:t>
      </w:r>
    </w:p>
    <w:bookmarkEnd w:id="24"/>
    <w:bookmarkStart w:id="25" w:name="X0191e9e839513ac56096738d7394166171c4eb6"/>
    <w:p>
      <w:pPr>
        <w:pStyle w:val="Heading2"/>
      </w:pPr>
      <w:r>
        <w:t xml:space="preserve">V. Challenges and Mitigation in Egypt Alexandria</w:t>
      </w:r>
    </w:p>
    <w:p>
      <w:pPr>
        <w:pStyle w:val="FirstParagraph"/>
      </w:pPr>
      <w:r>
        <w:t xml:space="preserve">Alexandria presents logistical complexities that required adaptive solutions:</w:t>
      </w:r>
    </w:p>
    <w:p>
      <w:pPr>
        <w:numPr>
          <w:ilvl w:val="0"/>
          <w:numId w:val="1006"/>
        </w:numPr>
        <w:pStyle w:val="Compact"/>
      </w:pPr>
      <w:r>
        <w:rPr>
          <w:bCs/>
          <w:b/>
        </w:rPr>
        <w:t xml:space="preserve">Infrastructure Variability:</w:t>
      </w:r>
      <w:r>
        <w:t xml:space="preserve"> </w:t>
      </w:r>
      <w:r>
        <w:t xml:space="preserve">Older schools in industrial zones (e.g., Haret El-Hor) lacked reliable internet. *Mitigation:* We provided offline digital kits with USB drives containing all training materials and recorded sessions.</w:t>
      </w:r>
    </w:p>
    <w:p>
      <w:pPr>
        <w:numPr>
          <w:ilvl w:val="0"/>
          <w:numId w:val="1006"/>
        </w:numPr>
        <w:pStyle w:val="Compact"/>
      </w:pPr>
      <w:r>
        <w:rPr>
          <w:bCs/>
          <w:b/>
        </w:rPr>
        <w:t xml:space="preserve">Budget Cycles:</w:t>
      </w:r>
      <w:r>
        <w:t xml:space="preserve"> </w:t>
      </w:r>
      <w:r>
        <w:t xml:space="preserve">Some Alexandria governorate schools faced delayed funding from the Ministry. *Mitigation:* Introduced flexible payment plans (3 installments aligned with school fiscal calendar) without reducing service quality.</w:t>
      </w:r>
    </w:p>
    <w:p>
      <w:pPr>
        <w:numPr>
          <w:ilvl w:val="0"/>
          <w:numId w:val="1006"/>
        </w:numPr>
        <w:pStyle w:val="Compact"/>
      </w:pPr>
      <w:r>
        <w:rPr>
          <w:bCs/>
          <w:b/>
        </w:rPr>
        <w:t xml:space="preserve">Cultural Nuance:</w:t>
      </w:r>
      <w:r>
        <w:t xml:space="preserve"> </w:t>
      </w:r>
      <w:r>
        <w:t xml:space="preserve">Traditional teaching methods resisted digital tools. *Mitigation:* Implemented "Peer Mentorship" model – certified teachers from early-adopting schools conducted training for colleagues, building organic buy-in.</w:t>
      </w:r>
    </w:p>
    <w:bookmarkEnd w:id="25"/>
    <w:bookmarkStart w:id="26" w:name="Xf3b228a4954e15b45bd2875fd14c7af250ac67c"/>
    <w:p>
      <w:pPr>
        <w:pStyle w:val="Heading2"/>
      </w:pPr>
      <w:r>
        <w:t xml:space="preserve">VI. Future Outlook: Teacher Secondary Expansion in Egypt Alexandria</w:t>
      </w:r>
    </w:p>
    <w:p>
      <w:pPr>
        <w:pStyle w:val="FirstParagraph"/>
      </w:pPr>
      <w:r>
        <w:t xml:space="preserve">Alexandria represents our most promising market for scaling the Teacher Secondary program. Key initiatives for Q4 2023 include:</w:t>
      </w:r>
    </w:p>
    <w:p>
      <w:pPr>
        <w:numPr>
          <w:ilvl w:val="0"/>
          <w:numId w:val="1007"/>
        </w:numPr>
        <w:pStyle w:val="Compact"/>
      </w:pPr>
      <w:r>
        <w:rPr>
          <w:bCs/>
          <w:b/>
        </w:rPr>
        <w:t xml:space="preserve">Targeting 60+ Schools:</w:t>
      </w:r>
      <w:r>
        <w:t xml:space="preserve"> </w:t>
      </w:r>
      <w:r>
        <w:t xml:space="preserve">Focus on underserved districts (Bab Shargieh, Sidi Bishr) where market share remains below 10%.</w:t>
      </w:r>
    </w:p>
    <w:p>
      <w:pPr>
        <w:numPr>
          <w:ilvl w:val="0"/>
          <w:numId w:val="1007"/>
        </w:numPr>
        <w:pStyle w:val="Compact"/>
      </w:pPr>
      <w:r>
        <w:rPr>
          <w:bCs/>
          <w:b/>
        </w:rPr>
        <w:t xml:space="preserve">Introducing Arabic-Language AI Tools:</w:t>
      </w:r>
      <w:r>
        <w:t xml:space="preserve"> </w:t>
      </w:r>
      <w:r>
        <w:t xml:space="preserve">Partnering with Egyptian tech startups to launch localized AI-driven lesson planning assistants for secondary teachers – directly addressing Alexandria's digital literacy gap.</w:t>
      </w:r>
    </w:p>
    <w:p>
      <w:pPr>
        <w:numPr>
          <w:ilvl w:val="0"/>
          <w:numId w:val="1007"/>
        </w:numPr>
        <w:pStyle w:val="Compact"/>
      </w:pPr>
      <w:r>
        <w:rPr>
          <w:bCs/>
          <w:b/>
        </w:rPr>
        <w:t xml:space="preserve">Leveraging Governorate Data:</w:t>
      </w:r>
      <w:r>
        <w:t xml:space="preserve"> </w:t>
      </w:r>
      <w:r>
        <w:t xml:space="preserve">Using Alexandria Education Office's 2023 student performance analytics to tailor training modules, increasing perceived value for school administrators.</w:t>
      </w:r>
    </w:p>
    <w:bookmarkEnd w:id="26"/>
    <w:bookmarkStart w:id="27" w:name="vii.-conclusion"/>
    <w:p>
      <w:pPr>
        <w:pStyle w:val="Heading2"/>
      </w:pPr>
      <w:r>
        <w:t xml:space="preserve">VII. Conclusion</w:t>
      </w:r>
    </w:p>
    <w:p>
      <w:pPr>
        <w:pStyle w:val="FirstParagraph"/>
      </w:pPr>
      <w:r>
        <w:t xml:space="preserve">The Teacher Secondary Professional Development Program has solidified its position as the preferred solution for secondary educators in Egypt Alexandria. Our Q3 results demonstrate not just strong sales but strategic market leadership, built on deep understanding of Alexandria's educational ecosystem and unwavering alignment with Egyptian national priorities. As we move into Q4, our focus remains on deepening penetration within the city's 800+ secondary schools while enhancing the program’s relevance through continuous localization. Alexandria's success will directly inform our national expansion strategy across Egypt. The data confirms that when teacher training solutions are specifically designed for Egypt Alexandria’s unique context – and marketed with precision to secondary school stakeholders – sustainable growth becomes not just achievable, but inevitable.</w:t>
      </w:r>
    </w:p>
    <w:p>
      <w:pPr>
        <w:pStyle w:val="BodyText"/>
      </w:pPr>
      <w:r>
        <w:rPr>
          <w:bCs/>
          <w:b/>
        </w:rPr>
        <w:t xml:space="preserve">Prepared By:</w:t>
      </w:r>
      <w:r>
        <w:t xml:space="preserve"> </w:t>
      </w:r>
      <w:r>
        <w:t xml:space="preserve">Regional Sales Director, Northern Egypt</w:t>
      </w:r>
      <w:r>
        <w:br/>
      </w:r>
      <w:r>
        <w:rPr>
          <w:bCs/>
          <w:b/>
        </w:rPr>
        <w:t xml:space="preserve">Signature: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Program in Egypt Alexandria</dc:title>
  <dc:creator/>
  <dc:language>en</dc:language>
  <cp:keywords/>
  <dcterms:created xsi:type="dcterms:W3CDTF">2026-07-24T00:23:52Z</dcterms:created>
  <dcterms:modified xsi:type="dcterms:W3CDTF">2026-07-24T00:23:52Z</dcterms:modified>
</cp:coreProperties>
</file>

<file path=docProps/custom.xml><?xml version="1.0" encoding="utf-8"?>
<Properties xmlns="http://schemas.openxmlformats.org/officeDocument/2006/custom-properties" xmlns:vt="http://schemas.openxmlformats.org/officeDocument/2006/docPropsVTypes"/>
</file>