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Marseille</w:t>
      </w:r>
    </w:p>
    <w:bookmarkStart w:id="29" w:name="X2a3fe3f897a6183e20627b087b3a1677861dc0d"/>
    <w:p>
      <w:pPr>
        <w:pStyle w:val="Heading1"/>
      </w:pPr>
      <w:r>
        <w:t xml:space="preserve">Comprehensive Sales Report: Teacher Secondary Education Market Performance in France Marseille (Q3 2023)</w:t>
      </w:r>
    </w:p>
    <w:bookmarkStart w:id="20" w:name="executive-summary"/>
    <w:p>
      <w:pPr>
        <w:pStyle w:val="Heading2"/>
      </w:pPr>
      <w:r>
        <w:t xml:space="preserve">Executive Summary</w:t>
      </w:r>
    </w:p>
    <w:p>
      <w:pPr>
        <w:pStyle w:val="FirstParagraph"/>
      </w:pPr>
      <w:r>
        <w:t xml:space="preserve">This official Sales Report details the performance of educational solutions targeting Teacher Secondary professionals across France Marseille during the third quarter of 2023. The report confirms a significant 18.7% year-on-year growth in sales volume, driven by strategic partnerships with Marseille's public secondary education network and heightened demand for digital pedagogical tools among secondary school teachers. This performance underscores France Marseille's emergence as a pivotal growth corridor for specialized educational services catering to Teacher Secondary needs.</w:t>
      </w:r>
    </w:p>
    <w:bookmarkEnd w:id="20"/>
    <w:bookmarkStart w:id="21" w:name="X286b6e856b8fe96ede3f9a48c01f76bd05a0ade"/>
    <w:p>
      <w:pPr>
        <w:pStyle w:val="Heading2"/>
      </w:pPr>
      <w:r>
        <w:t xml:space="preserve">Market Context: Teacher Secondary Landscape in France Marseille</w:t>
      </w:r>
    </w:p>
    <w:p>
      <w:pPr>
        <w:pStyle w:val="FirstParagraph"/>
      </w:pPr>
      <w:r>
        <w:t xml:space="preserve">Marseille, France's second-largest city and a cultural crossroads, houses 148 secondary schools (collèges and lycées) serving over 105,000 students. The Teacher Secondary cohort here faces unique challenges including diverse student populations with high immigration backgrounds, limited digital infrastructure in older campuses, and evolving national curricula under the "École de la Confiance" reform. This context has intensified demand for adaptive teaching solutions specifically designed for secondary educators navigating these complexities.</w:t>
      </w:r>
    </w:p>
    <w:p>
      <w:pPr>
        <w:pStyle w:val="BodyText"/>
      </w:pPr>
      <w:r>
        <w:t xml:space="preserve">Our analysis confirms that 76% of Teacher Secondary professionals in Marseille prioritize professional development resources and classroom management tools over traditional textbooks. The local educational authority (Académie de Aix-Marseille) has accelerated digital transformation initiatives, creating a prime opportunity for vendors specializing in secondary teacher support systems.</w:t>
      </w:r>
    </w:p>
    <w:bookmarkEnd w:id="21"/>
    <w:bookmarkStart w:id="24" w:name="q3-2023-sales-performance-breakdown"/>
    <w:p>
      <w:pPr>
        <w:pStyle w:val="Heading2"/>
      </w:pPr>
      <w:r>
        <w:t xml:space="preserve">Q3 2023 Sales Performance Breakdown</w:t>
      </w:r>
    </w:p>
    <w:bookmarkStart w:id="22" w:name="revenue-streams-key-metrics"/>
    <w:p>
      <w:pPr>
        <w:pStyle w:val="Heading3"/>
      </w:pPr>
      <w:r>
        <w:t xml:space="preserve">Revenue Streams &amp;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w:t>
            </w:r>
          </w:p>
        </w:tc>
        <w:tc>
          <w:tcPr/>
          <w:p>
            <w:pPr>
              <w:pStyle w:val="Compact"/>
              <w:jc w:val="left"/>
            </w:pPr>
            <w:r>
              <w:t xml:space="preserve">% YoY Change</w:t>
            </w:r>
          </w:p>
        </w:tc>
        <w:tc>
          <w:tcPr/>
          <w:p>
            <w:pPr>
              <w:pStyle w:val="Compact"/>
              <w:jc w:val="left"/>
            </w:pPr>
            <w:r>
              <w:t xml:space="preserve">Target Achievement</w:t>
            </w:r>
          </w:p>
        </w:tc>
      </w:tr>
      <w:tr>
        <w:tc>
          <w:tcPr/>
          <w:p>
            <w:pPr>
              <w:pStyle w:val="Compact"/>
              <w:jc w:val="left"/>
            </w:pPr>
            <w:r>
              <w:t xml:space="preserve">Digital Lesson Planning Platforms</w:t>
            </w:r>
          </w:p>
        </w:tc>
        <w:tc>
          <w:tcPr/>
          <w:p>
            <w:pPr>
              <w:pStyle w:val="Compact"/>
              <w:jc w:val="left"/>
            </w:pPr>
            <w:r>
              <w:t xml:space="preserve">184,500</w:t>
            </w:r>
          </w:p>
        </w:tc>
        <w:tc>
          <w:tcPr/>
          <w:p>
            <w:pPr>
              <w:pStyle w:val="Compact"/>
              <w:jc w:val="left"/>
            </w:pPr>
            <w:r>
              <w:t xml:space="preserve">+27.3%</w:t>
            </w:r>
          </w:p>
        </w:tc>
        <w:tc>
          <w:tcPr/>
          <w:p>
            <w:pPr>
              <w:pStyle w:val="Compact"/>
              <w:jc w:val="left"/>
            </w:pPr>
            <w:r>
              <w:t xml:space="preserve">122%</w:t>
            </w:r>
          </w:p>
        </w:tc>
      </w:tr>
      <w:tr>
        <w:tc>
          <w:tcPr/>
          <w:p>
            <w:pPr>
              <w:pStyle w:val="Compact"/>
              <w:jc w:val="left"/>
            </w:pPr>
            <w:r>
              <w:t xml:space="preserve">Curriculum Alignment Kits for Teacher Secondary</w:t>
            </w:r>
          </w:p>
        </w:tc>
        <w:tc>
          <w:tcPr/>
          <w:p>
            <w:pPr>
              <w:pStyle w:val="Compact"/>
              <w:jc w:val="left"/>
            </w:pPr>
            <w:r>
              <w:t xml:space="preserve">98,200</w:t>
            </w:r>
          </w:p>
        </w:tc>
        <w:tc>
          <w:tcPr/>
          <w:p>
            <w:pPr>
              <w:pStyle w:val="Compact"/>
              <w:jc w:val="left"/>
            </w:pPr>
            <w:r>
              <w:t xml:space="preserve">+15.6%</w:t>
            </w:r>
          </w:p>
        </w:tc>
        <w:tc>
          <w:tcPr/>
          <w:p>
            <w:pPr>
              <w:pStyle w:val="Compact"/>
              <w:jc w:val="left"/>
            </w:pPr>
            <w:r>
              <w:t xml:space="preserve">98%</w:t>
            </w:r>
          </w:p>
        </w:tc>
      </w:tr>
      <w:tr>
        <w:tc>
          <w:tcPr/>
          <w:p>
            <w:pPr>
              <w:pStyle w:val="Compact"/>
              <w:jc w:val="left"/>
            </w:pPr>
            <w:r>
              <w:t xml:space="preserve">School-Wide Digital Training Programs</w:t>
            </w:r>
          </w:p>
        </w:tc>
        <w:tc>
          <w:tcPr/>
          <w:p>
            <w:pPr>
              <w:pStyle w:val="Compact"/>
              <w:jc w:val="left"/>
            </w:pPr>
            <w:r>
              <w:t xml:space="preserve">215,700</w:t>
            </w:r>
          </w:p>
        </w:tc>
        <w:tc>
          <w:tcPr/>
          <w:p>
            <w:pPr>
              <w:pStyle w:val="Compact"/>
              <w:jc w:val="left"/>
            </w:pPr>
            <w:r>
              <w:t xml:space="preserve">+34.1%</w:t>
            </w:r>
          </w:p>
        </w:tc>
        <w:tc>
          <w:tcPr/>
          <w:p>
            <w:pPr>
              <w:pStyle w:val="Compact"/>
              <w:jc w:val="left"/>
            </w:pPr>
            <w:r>
              <w:t xml:space="preserve">143%</w:t>
            </w:r>
          </w:p>
        </w:tc>
      </w:tr>
      <w:tr>
        <w:tc>
          <w:tcPr/>
          <w:p>
            <w:pPr>
              <w:pStyle w:val="Compact"/>
              <w:jc w:val="left"/>
            </w:pPr>
            <w:r>
              <w:t xml:space="preserve">Educational Assessment Tools (Teacher Secondary Focus)</w:t>
            </w:r>
          </w:p>
        </w:tc>
        <w:tc>
          <w:tcPr/>
          <w:p>
            <w:pPr>
              <w:pStyle w:val="Compact"/>
              <w:jc w:val="left"/>
            </w:pPr>
            <w:r>
              <w:t xml:space="preserve">76,800</w:t>
            </w:r>
          </w:p>
        </w:tc>
        <w:tc>
          <w:tcPr/>
          <w:p>
            <w:pPr>
              <w:pStyle w:val="Compact"/>
              <w:jc w:val="left"/>
            </w:pPr>
            <w:r>
              <w:t xml:space="preserve">+9.8%</w:t>
            </w:r>
          </w:p>
        </w:tc>
        <w:tc>
          <w:tcPr/>
          <w:p>
            <w:pPr>
              <w:pStyle w:val="Compact"/>
              <w:jc w:val="left"/>
            </w:pPr>
            <w:r>
              <w:t xml:space="preserve">92%</w:t>
            </w:r>
          </w:p>
        </w:tc>
      </w:tr>
    </w:tbl>
    <w:p>
      <w:pPr>
        <w:pStyle w:val="BodyText"/>
      </w:pPr>
      <w:r>
        <w:t xml:space="preserve">The 14% above-target performance in Digital Training Programs reflects Marseille's aggressive adoption of the National Digital School Plan (PNNS). Partnerships with key institutions like Lycée Technique Sainte-Marie and Collège Jean Monnet directly contributed to this success, with 87% of training participants reporting improved digital confidence in classroom management.</w:t>
      </w:r>
    </w:p>
    <w:bookmarkEnd w:id="22"/>
    <w:bookmarkStart w:id="23" w:name="regional-sales-distribution"/>
    <w:p>
      <w:pPr>
        <w:pStyle w:val="Heading3"/>
      </w:pPr>
      <w:r>
        <w:t xml:space="preserve">Regional Sales Distribution</w:t>
      </w:r>
    </w:p>
    <w:p>
      <w:pPr>
        <w:pStyle w:val="FirstParagraph"/>
      </w:pPr>
      <w:r>
        <w:t xml:space="preserve">France Marseille's contribution to national Teacher Secondary sales reached 29.4% of total revenue in Q3 – a 4.2-point increase from Q2. The most active districts included:</w:t>
      </w:r>
    </w:p>
    <w:p>
      <w:pPr>
        <w:numPr>
          <w:ilvl w:val="0"/>
          <w:numId w:val="1001"/>
        </w:numPr>
        <w:pStyle w:val="Compact"/>
      </w:pPr>
      <w:r>
        <w:rPr>
          <w:bCs/>
          <w:b/>
        </w:rPr>
        <w:t xml:space="preserve">Bouches-du-Rhône Urban Zone (58% of sales):</w:t>
      </w:r>
      <w:r>
        <w:t xml:space="preserve"> </w:t>
      </w:r>
      <w:r>
        <w:t xml:space="preserve">High-density secondary schools near the city center (e.g., Marseille 1st, 7th arrondissements)</w:t>
      </w:r>
    </w:p>
    <w:p>
      <w:pPr>
        <w:numPr>
          <w:ilvl w:val="0"/>
          <w:numId w:val="1001"/>
        </w:numPr>
        <w:pStyle w:val="Compact"/>
      </w:pPr>
      <w:r>
        <w:rPr>
          <w:bCs/>
          <w:b/>
        </w:rPr>
        <w:t xml:space="preserve">Periurban Zones (32%):</w:t>
      </w:r>
      <w:r>
        <w:t xml:space="preserve"> </w:t>
      </w:r>
      <w:r>
        <w:t xml:space="preserve">Schools in suburban areas like Istres and Berre-l'Étang with growing student diversity</w:t>
      </w:r>
    </w:p>
    <w:p>
      <w:pPr>
        <w:numPr>
          <w:ilvl w:val="0"/>
          <w:numId w:val="1001"/>
        </w:numPr>
        <w:pStyle w:val="Compact"/>
      </w:pPr>
      <w:r>
        <w:rPr>
          <w:bCs/>
          <w:b/>
        </w:rPr>
        <w:t xml:space="preserve">Rural Periphery (10%):</w:t>
      </w:r>
      <w:r>
        <w:t xml:space="preserve"> </w:t>
      </w:r>
      <w:r>
        <w:t xml:space="preserve">Collaborations with mobile educational teams serving coastal villages</w:t>
      </w:r>
    </w:p>
    <w:bookmarkEnd w:id="23"/>
    <w:bookmarkEnd w:id="24"/>
    <w:bookmarkStart w:id="25" w:name="Xa4d3b2a0ce6ea4f9dceb0c8e87432d4a2bb3bba"/>
    <w:p>
      <w:pPr>
        <w:pStyle w:val="Heading2"/>
      </w:pPr>
      <w:r>
        <w:t xml:space="preserve">Strategic Success Factors: Why Marseille Outperformed National Averages</w:t>
      </w:r>
    </w:p>
    <w:p>
      <w:pPr>
        <w:pStyle w:val="FirstParagraph"/>
      </w:pPr>
      <w:r>
        <w:t xml:space="preserve">The exceptional performance stems from three targeted strategies aligned with Teacher Secondary realities in France Marseille:</w:t>
      </w:r>
    </w:p>
    <w:p>
      <w:pPr>
        <w:numPr>
          <w:ilvl w:val="0"/>
          <w:numId w:val="1002"/>
        </w:numPr>
        <w:pStyle w:val="Compact"/>
      </w:pPr>
      <w:r>
        <w:rPr>
          <w:bCs/>
          <w:b/>
        </w:rPr>
        <w:t xml:space="preserve">Cultural Sensitivity Integration:</w:t>
      </w:r>
      <w:r>
        <w:t xml:space="preserve"> </w:t>
      </w:r>
      <w:r>
        <w:t xml:space="preserve">Our "Marseille Pedagogy Toolkit" features multilingual content and case studies reflecting the city's North African, Sub-Saharan African, and Eastern European student demographics – a solution directly requested by 63% of Teacher Secondary professionals during our Q2 stakeholder workshops.</w:t>
      </w:r>
    </w:p>
    <w:p>
      <w:pPr>
        <w:numPr>
          <w:ilvl w:val="0"/>
          <w:numId w:val="1002"/>
        </w:numPr>
        <w:pStyle w:val="Compact"/>
      </w:pPr>
      <w:r>
        <w:rPr>
          <w:bCs/>
          <w:b/>
        </w:rPr>
        <w:t xml:space="preserve">Académie Partnership Leverage:</w:t>
      </w:r>
      <w:r>
        <w:t xml:space="preserve"> </w:t>
      </w:r>
      <w:r>
        <w:t xml:space="preserve">Collaborating with Académie de Marseille on the "Digital Coach" initiative embedded our training modules within mandatory professional development, achieving 100% curriculum alignment for secondary teacher certification.</w:t>
      </w:r>
    </w:p>
    <w:p>
      <w:pPr>
        <w:numPr>
          <w:ilvl w:val="0"/>
          <w:numId w:val="1002"/>
        </w:numPr>
        <w:pStyle w:val="Compact"/>
      </w:pPr>
      <w:r>
        <w:rPr>
          <w:bCs/>
          <w:b/>
        </w:rPr>
        <w:t xml:space="preserve">Hyper-Local Distribution Model:</w:t>
      </w:r>
      <w:r>
        <w:t xml:space="preserve"> </w:t>
      </w:r>
      <w:r>
        <w:t xml:space="preserve">Establishing a dedicated Marseille office (opened Q1 2023) enabled rapid response to Teacher Secondary needs. On-site demos at the Maison de l'Éducation in Sainte-Marguerite reduced onboarding time by 40% versus national averages.</w:t>
      </w:r>
    </w:p>
    <w:bookmarkEnd w:id="25"/>
    <w:bookmarkStart w:id="26" w:name="challenges-competitive-landscape"/>
    <w:p>
      <w:pPr>
        <w:pStyle w:val="Heading2"/>
      </w:pPr>
      <w:r>
        <w:t xml:space="preserve">Challenges &amp; Competitive Landscape</w:t>
      </w:r>
    </w:p>
    <w:p>
      <w:pPr>
        <w:pStyle w:val="FirstParagraph"/>
      </w:pPr>
      <w:r>
        <w:t xml:space="preserve">Despite strong growth, we identified critical challenges requiring immediate attention:</w:t>
      </w:r>
    </w:p>
    <w:p>
      <w:pPr>
        <w:numPr>
          <w:ilvl w:val="0"/>
          <w:numId w:val="1003"/>
        </w:numPr>
        <w:pStyle w:val="Compact"/>
      </w:pPr>
      <w:r>
        <w:rPr>
          <w:bCs/>
          <w:b/>
        </w:rPr>
        <w:t xml:space="preserve">Funding Instability:</w:t>
      </w:r>
      <w:r>
        <w:t xml:space="preserve"> </w:t>
      </w:r>
      <w:r>
        <w:t xml:space="preserve">38% of secondary schools in Marseille operate on reduced budgets due to local austerity measures. This necessitates greater focus on cost-effective subscriptions rather than one-time purchases.</w:t>
      </w:r>
    </w:p>
    <w:p>
      <w:pPr>
        <w:numPr>
          <w:ilvl w:val="0"/>
          <w:numId w:val="1003"/>
        </w:numPr>
        <w:pStyle w:val="Compact"/>
      </w:pPr>
      <w:r>
        <w:rPr>
          <w:bCs/>
          <w:b/>
        </w:rPr>
        <w:t xml:space="preserve">Competition from National Providers:</w:t>
      </w:r>
      <w:r>
        <w:t xml:space="preserve"> </w:t>
      </w:r>
      <w:r>
        <w:t xml:space="preserve">Major edtech firms (e.g., Sopra Steria Education) are aggressively bidding for Marseille school contracts, requiring sharper differentiation through Teacher Secondary-specific features.</w:t>
      </w:r>
    </w:p>
    <w:p>
      <w:pPr>
        <w:numPr>
          <w:ilvl w:val="0"/>
          <w:numId w:val="1003"/>
        </w:numPr>
        <w:pStyle w:val="Compact"/>
      </w:pPr>
      <w:r>
        <w:rPr>
          <w:bCs/>
          <w:b/>
        </w:rPr>
        <w:t xml:space="preserve">Digital Divide:</w:t>
      </w:r>
      <w:r>
        <w:t xml:space="preserve"> </w:t>
      </w:r>
      <w:r>
        <w:t xml:space="preserve">Only 62% of Teacher Secondary staff in Marseille report reliable high-speed internet access – a barrier to full adoption of cloud-based solutions.</w:t>
      </w:r>
    </w:p>
    <w:bookmarkEnd w:id="26"/>
    <w:bookmarkStart w:id="27" w:name="X5f31b4eff4bec44d3f61f1d6ecee8640c27439a"/>
    <w:p>
      <w:pPr>
        <w:pStyle w:val="Heading2"/>
      </w:pPr>
      <w:r>
        <w:t xml:space="preserve">Strategic Recommendations for France Marseille</w:t>
      </w:r>
    </w:p>
    <w:p>
      <w:pPr>
        <w:pStyle w:val="FirstParagraph"/>
      </w:pPr>
      <w:r>
        <w:t xml:space="preserve">To sustain momentum, we recommend the following actions for the next quarter:</w:t>
      </w:r>
    </w:p>
    <w:p>
      <w:pPr>
        <w:numPr>
          <w:ilvl w:val="0"/>
          <w:numId w:val="1004"/>
        </w:numPr>
        <w:pStyle w:val="Compact"/>
      </w:pPr>
      <w:r>
        <w:rPr>
          <w:bCs/>
          <w:b/>
        </w:rPr>
        <w:t xml:space="preserve">Launch "Marseille Digital Equity Fund":</w:t>
      </w:r>
      <w:r>
        <w:t xml:space="preserve"> </w:t>
      </w:r>
      <w:r>
        <w:t xml:space="preserve">Partner with local businesses to provide subsidized high-speed internet access for Teacher Secondary professionals in under-resourced schools. Pilot program targeting 25 collèges by Q1 2024.</w:t>
      </w:r>
    </w:p>
    <w:p>
      <w:pPr>
        <w:numPr>
          <w:ilvl w:val="0"/>
          <w:numId w:val="1004"/>
        </w:numPr>
        <w:pStyle w:val="Compact"/>
      </w:pPr>
      <w:r>
        <w:rPr>
          <w:bCs/>
          <w:b/>
        </w:rPr>
        <w:t xml:space="preserve">Develop "Bilingual Pedagogy Modules":</w:t>
      </w:r>
      <w:r>
        <w:t xml:space="preserve"> </w:t>
      </w:r>
      <w:r>
        <w:t xml:space="preserve">Expand current multilingual resources to include Arabic, Vietnamese, and Portuguese content – addressing the top request from Marseille Teacher Secondary educators (per our Q3 survey).</w:t>
      </w:r>
    </w:p>
    <w:p>
      <w:pPr>
        <w:numPr>
          <w:ilvl w:val="0"/>
          <w:numId w:val="1004"/>
        </w:numPr>
        <w:pStyle w:val="Compact"/>
      </w:pPr>
      <w:r>
        <w:rPr>
          <w:bCs/>
          <w:b/>
        </w:rPr>
        <w:t xml:space="preserve">Create Regional Teacher Secondary Ambassadors:</w:t>
      </w:r>
      <w:r>
        <w:t xml:space="preserve"> </w:t>
      </w:r>
      <w:r>
        <w:t xml:space="preserve">Recruit 15 influential secondary school teachers across Marseille to co-design solutions. This builds trust and ensures product relevance for France Marseille's unique educational ecosystem.</w:t>
      </w:r>
    </w:p>
    <w:bookmarkEnd w:id="27"/>
    <w:bookmarkStart w:id="28" w:name="X1f0a11dc7d600336382db5c612a3e176293e8f5"/>
    <w:p>
      <w:pPr>
        <w:pStyle w:val="Heading2"/>
      </w:pPr>
      <w:r>
        <w:t xml:space="preserve">Conclusion: The Future of Teacher Secondary Sales in France Marseille</w:t>
      </w:r>
    </w:p>
    <w:p>
      <w:pPr>
        <w:pStyle w:val="FirstParagraph"/>
      </w:pPr>
      <w:r>
        <w:t xml:space="preserve">This Sales Report confirms that France Marseille is not merely a regional market, but a critical innovation hub for secondary education solutions. With 83% of Teacher Secondary professionals now using our digital tools regularly (vs. 51% nationally), the city has become a blueprint for national expansion. The success demonstrates that when solutions are tailored to Marseille's specific socio-educational context – rather than generic national offerings – we achieve superior adoption and client retention.</w:t>
      </w:r>
    </w:p>
    <w:p>
      <w:pPr>
        <w:pStyle w:val="BodyText"/>
      </w:pPr>
      <w:r>
        <w:t xml:space="preserve">Looking ahead, we project a 22% revenue growth in France Marseille for Q4 2023, driven by our new partnership with the Marseille Métropole Education Office. This momentum solidifies our position as the premier provider of Teacher Secondary-focused educational solutions in France's most dynamic secondary education market. The continued success of this Sales Report hinges on maintaining our hyper-local approach while scaling proven Marseille-based innovations across all French regions.</w:t>
      </w:r>
    </w:p>
    <w:p>
      <w:pPr>
        <w:pStyle w:val="BodyText"/>
      </w:pPr>
      <w:r>
        <w:rPr>
          <w:bCs/>
          <w:b/>
        </w:rPr>
        <w:t xml:space="preserve">Prepared for:</w:t>
      </w:r>
      <w:r>
        <w:t xml:space="preserve"> </w:t>
      </w:r>
      <w:r>
        <w:t xml:space="preserve">Académie de Aix-Marseille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France Marseille</dc:title>
  <dc:creator/>
  <dc:language>en</dc:language>
  <cp:keywords/>
  <dcterms:created xsi:type="dcterms:W3CDTF">2026-07-23T13:01:21Z</dcterms:created>
  <dcterms:modified xsi:type="dcterms:W3CDTF">2026-07-23T13:01:21Z</dcterms:modified>
</cp:coreProperties>
</file>

<file path=docProps/custom.xml><?xml version="1.0" encoding="utf-8"?>
<Properties xmlns="http://schemas.openxmlformats.org/officeDocument/2006/custom-properties" xmlns:vt="http://schemas.openxmlformats.org/officeDocument/2006/docPropsVTypes"/>
</file>