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w:t>
      </w:r>
      <w:r>
        <w:t xml:space="preserve"> </w:t>
      </w:r>
      <w:r>
        <w:t xml:space="preserve">France</w:t>
      </w:r>
      <w:r>
        <w:t xml:space="preserve"> </w:t>
      </w:r>
      <w:r>
        <w:t xml:space="preserve">Paris</w:t>
      </w:r>
    </w:p>
    <w:bookmarkStart w:id="29" w:name="X0aadd1a2d1ef46ed1d83353369a40d72d00e9a2"/>
    <w:p>
      <w:pPr>
        <w:pStyle w:val="Heading1"/>
      </w:pPr>
      <w:r>
        <w:t xml:space="preserve">Comprehensive Sales Report: Teacher Secondary Services in France Paris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Education Partnerships Department</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Teacher Secondary services across France Paris, representing our flagship educational solutions for secondary school educators. Despite macroeconomic challenges in metropolitan France, the Teacher Secondary portfolio achieved remarkable growth with a 34% year-over-year increase in subscription renewals and a 28% expansion into new Parisian secondary institutions. The report confirms that demand for specialized Teacher Secondary resources is not only robust but accelerating within Paris's competitive education ecosystem. Our strategic focus on Parisian school networks has positioned us as the preferred provider for digital pedagogical tools, directly contributing to our overall market share leadership in France.</w:t>
      </w:r>
    </w:p>
    <w:bookmarkEnd w:id="20"/>
    <w:bookmarkStart w:id="21" w:name="X5fffcece1c8cadfd7c71fd1be8887ba479a8d7b"/>
    <w:p>
      <w:pPr>
        <w:pStyle w:val="Heading2"/>
      </w:pPr>
      <w:r>
        <w:t xml:space="preserve">II. Market Context: France Paris Educational Landscape</w:t>
      </w:r>
    </w:p>
    <w:p>
      <w:pPr>
        <w:pStyle w:val="FirstParagraph"/>
      </w:pPr>
      <w:r>
        <w:t xml:space="preserve">The educational environment in France Paris presents both unique opportunities and complexities for Teacher Secondary solutions. With over 500 public and private secondary institutions (collèges and lycées) concentrated within the capital, Paris represents France's most dynamic educational hub. Recent government initiatives like "École de la Confiance" have intensified demand for innovative teaching methodologies, directly aligning with our Teacher Secondary platform capabilities. However, Parisian schools face distinct challenges including overcrowded classrooms (average 25 students per class), diverse student populations requiring differentiated instruction, and stringent national curriculum compliance standards. This environment has created an unprecedented need for specialized Teacher Secondary tools that simplify pedagogical adaptation while meeting French Ministry of Education requirements.</w:t>
      </w:r>
    </w:p>
    <w:bookmarkEnd w:id="21"/>
    <w:bookmarkStart w:id="24" w:name="iii.-sales-performance-analysis"/>
    <w:p>
      <w:pPr>
        <w:pStyle w:val="Heading2"/>
      </w:pPr>
      <w:r>
        <w:t xml:space="preserve">III. Sales Performance Analysis</w:t>
      </w:r>
    </w:p>
    <w:bookmarkStart w:id="22" w:name="a.-key-metrics-q3-2023"/>
    <w:p>
      <w:pPr>
        <w:pStyle w:val="Heading3"/>
      </w:pPr>
      <w:r>
        <w:t xml:space="preserve">A. Key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Indicator</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w:t>
            </w:r>
          </w:p>
        </w:tc>
      </w:tr>
      <w:tr>
        <w:tc>
          <w:tcPr/>
          <w:p>
            <w:pPr>
              <w:pStyle w:val="Compact"/>
              <w:jc w:val="left"/>
            </w:pPr>
            <w:r>
              <w:t xml:space="preserve">New Parisian School Contracts Signed</w:t>
            </w:r>
          </w:p>
        </w:tc>
        <w:tc>
          <w:tcPr/>
          <w:p>
            <w:pPr>
              <w:pStyle w:val="Compact"/>
              <w:jc w:val="left"/>
            </w:pPr>
            <w:r>
              <w:t xml:space="preserve">47</w:t>
            </w:r>
          </w:p>
        </w:tc>
        <w:tc>
          <w:tcPr/>
          <w:p>
            <w:pPr>
              <w:pStyle w:val="Compact"/>
              <w:jc w:val="left"/>
            </w:pPr>
            <w:r>
              <w:t xml:space="preserve">31</w:t>
            </w:r>
          </w:p>
        </w:tc>
        <w:tc>
          <w:tcPr/>
          <w:p>
            <w:pPr>
              <w:pStyle w:val="Compact"/>
              <w:jc w:val="left"/>
            </w:pPr>
            <w:r>
              <w:t xml:space="preserve">+51.6%</w:t>
            </w:r>
          </w:p>
        </w:tc>
      </w:tr>
      <w:tr>
        <w:tc>
          <w:tcPr/>
          <w:p>
            <w:pPr>
              <w:pStyle w:val="Compact"/>
              <w:jc w:val="left"/>
            </w:pPr>
            <w:r>
              <w:t xml:space="preserve">Teacher Secondary Subscription Renewals (Paris)</w:t>
            </w:r>
          </w:p>
        </w:tc>
        <w:tc>
          <w:tcPr/>
          <w:p>
            <w:pPr>
              <w:pStyle w:val="Compact"/>
              <w:jc w:val="left"/>
            </w:pPr>
            <w:r>
              <w:t xml:space="preserve">89% (208/234)</w:t>
            </w:r>
          </w:p>
        </w:tc>
        <w:tc>
          <w:tcPr/>
          <w:p>
            <w:pPr>
              <w:pStyle w:val="Compact"/>
              <w:jc w:val="left"/>
            </w:pPr>
            <w:r>
              <w:t xml:space="preserve">83%</w:t>
            </w:r>
          </w:p>
        </w:tc>
        <w:tc>
          <w:tcPr/>
          <w:p>
            <w:pPr>
              <w:pStyle w:val="Compact"/>
              <w:jc w:val="left"/>
            </w:pPr>
            <w:r>
              <w:t xml:space="preserve">+6pts</w:t>
            </w:r>
          </w:p>
        </w:tc>
      </w:tr>
      <w:tr>
        <w:tc>
          <w:tcPr/>
          <w:p>
            <w:pPr>
              <w:pStyle w:val="Compact"/>
              <w:jc w:val="left"/>
            </w:pPr>
            <w:r>
              <w:t xml:space="preserve">Average Deal Size</w:t>
            </w:r>
          </w:p>
        </w:tc>
        <w:tc>
          <w:tcPr/>
          <w:p>
            <w:pPr>
              <w:pStyle w:val="Compact"/>
              <w:jc w:val="left"/>
            </w:pPr>
            <w:r>
              <w:t xml:space="preserve">€18,500</w:t>
            </w:r>
          </w:p>
        </w:tc>
        <w:tc>
          <w:tcPr/>
          <w:p>
            <w:pPr>
              <w:pStyle w:val="Compact"/>
              <w:jc w:val="left"/>
            </w:pPr>
            <w:r>
              <w:t xml:space="preserve">€17,200</w:t>
            </w:r>
          </w:p>
        </w:tc>
        <w:tc>
          <w:tcPr/>
          <w:p>
            <w:pPr>
              <w:pStyle w:val="Compact"/>
              <w:jc w:val="left"/>
            </w:pPr>
            <w:r>
              <w:t xml:space="preserve">+7.6%</w:t>
            </w:r>
          </w:p>
        </w:tc>
      </w:tr>
      <w:tr>
        <w:tc>
          <w:tcPr/>
          <w:p>
            <w:pPr>
              <w:pStyle w:val="Compact"/>
              <w:jc w:val="left"/>
            </w:pPr>
            <w:r>
              <w:t xml:space="preserve">Paris Market Share (Teacher Secondary)</w:t>
            </w:r>
          </w:p>
        </w:tc>
        <w:tc>
          <w:tcPr/>
          <w:p>
            <w:pPr>
              <w:pStyle w:val="Compact"/>
              <w:jc w:val="left"/>
            </w:pPr>
            <w:r>
              <w:t xml:space="preserve">38.2%</w:t>
            </w:r>
          </w:p>
        </w:tc>
        <w:tc>
          <w:tcPr/>
          <w:p>
            <w:pPr>
              <w:pStyle w:val="Compact"/>
              <w:jc w:val="left"/>
            </w:pPr>
            <w:r>
              <w:t xml:space="preserve">34.7%</w:t>
            </w:r>
          </w:p>
        </w:tc>
        <w:tc>
          <w:tcPr/>
          <w:p>
            <w:pPr>
              <w:pStyle w:val="Compact"/>
              <w:jc w:val="left"/>
            </w:pPr>
            <w:r>
              <w:t xml:space="preserve">+3.5pts</w:t>
            </w:r>
          </w:p>
        </w:tc>
      </w:tr>
    </w:tbl>
    <w:bookmarkEnd w:id="22"/>
    <w:bookmarkStart w:id="23" w:name="X02954d0296f8cf50a77829db52bfd241c91c2e6"/>
    <w:p>
      <w:pPr>
        <w:pStyle w:val="Heading3"/>
      </w:pPr>
      <w:r>
        <w:t xml:space="preserve">B. Geographic Sales Breakdown (Parisian Districts)</w:t>
      </w:r>
    </w:p>
    <w:p>
      <w:pPr>
        <w:pStyle w:val="FirstParagraph"/>
      </w:pPr>
      <w:r>
        <w:t xml:space="preserve">Our sales penetration shows significant district variation across Paris:</w:t>
      </w:r>
    </w:p>
    <w:p>
      <w:pPr>
        <w:numPr>
          <w:ilvl w:val="0"/>
          <w:numId w:val="1001"/>
        </w:numPr>
        <w:pStyle w:val="Compact"/>
      </w:pPr>
      <w:r>
        <w:rPr>
          <w:bCs/>
          <w:b/>
        </w:rPr>
        <w:t xml:space="preserve">1st-7th Arrondissements:</w:t>
      </w:r>
      <w:r>
        <w:t xml:space="preserve"> </w:t>
      </w:r>
      <w:r>
        <w:t xml:space="preserve">62% of total Paris sales, driven by private lycées and international schools requiring multilingual Teacher Secondary support</w:t>
      </w:r>
    </w:p>
    <w:p>
      <w:pPr>
        <w:numPr>
          <w:ilvl w:val="0"/>
          <w:numId w:val="1001"/>
        </w:numPr>
        <w:pStyle w:val="Compact"/>
      </w:pPr>
      <w:r>
        <w:rPr>
          <w:bCs/>
          <w:b/>
        </w:rPr>
        <w:t xml:space="preserve">13th-20th Arrondissements:</w:t>
      </w:r>
      <w:r>
        <w:t xml:space="preserve"> </w:t>
      </w:r>
      <w:r>
        <w:t xml:space="preserve">38% growth in public collèges, fueled by government digitalization grants for secondary teacher training</w:t>
      </w:r>
    </w:p>
    <w:p>
      <w:pPr>
        <w:numPr>
          <w:ilvl w:val="0"/>
          <w:numId w:val="1001"/>
        </w:numPr>
        <w:pStyle w:val="Compact"/>
      </w:pPr>
      <w:r>
        <w:rPr>
          <w:bCs/>
          <w:b/>
        </w:rPr>
        <w:t xml:space="preserve">Suburban Paris (Île-de-France):</w:t>
      </w:r>
      <w:r>
        <w:t xml:space="preserve"> </w:t>
      </w:r>
      <w:r>
        <w:t xml:space="preserve">19% new contracts in Seine-Saint-Denis and Val-de-Marne, where Teacher Secondary solutions reduced curriculum adaptation time by 40%</w:t>
      </w:r>
    </w:p>
    <w:bookmarkEnd w:id="23"/>
    <w:bookmarkEnd w:id="24"/>
    <w:bookmarkStart w:id="25" w:name="Xb7693a454d84f5a6a61eec4bc66393af4fd2c11"/>
    <w:p>
      <w:pPr>
        <w:pStyle w:val="Heading2"/>
      </w:pPr>
      <w:r>
        <w:t xml:space="preserve">IV. Success Drivers for Teacher Secondary Adoption</w:t>
      </w:r>
    </w:p>
    <w:p>
      <w:pPr>
        <w:pStyle w:val="FirstParagraph"/>
      </w:pPr>
      <w:r>
        <w:t xml:space="preserve">The exceptional performance stems from three strategic pillars directly addressing Parisian educators' needs:</w:t>
      </w:r>
    </w:p>
    <w:p>
      <w:pPr>
        <w:numPr>
          <w:ilvl w:val="0"/>
          <w:numId w:val="1002"/>
        </w:numPr>
        <w:pStyle w:val="Compact"/>
      </w:pPr>
      <w:r>
        <w:rPr>
          <w:bCs/>
          <w:b/>
        </w:rPr>
        <w:t xml:space="preserve">Curriculum Alignment:</w:t>
      </w:r>
      <w:r>
        <w:t xml:space="preserve"> </w:t>
      </w:r>
      <w:r>
        <w:t xml:space="preserve">Our Teacher Secondary platform now integrates 100% of France's Baccalauréat syllabi with real-time updates. Parisian teachers report 65% faster lesson planning due to this seamless alignment with the national framework.</w:t>
      </w:r>
    </w:p>
    <w:p>
      <w:pPr>
        <w:numPr>
          <w:ilvl w:val="0"/>
          <w:numId w:val="1002"/>
        </w:numPr>
        <w:pStyle w:val="Compact"/>
      </w:pPr>
      <w:r>
        <w:rPr>
          <w:bCs/>
          <w:b/>
        </w:rPr>
        <w:t xml:space="preserve">Cultural Nuance:</w:t>
      </w:r>
      <w:r>
        <w:t xml:space="preserve"> </w:t>
      </w:r>
      <w:r>
        <w:t xml:space="preserve">Unlike generic solutions, our Teacher Secondary product features localized content for Parisian contexts—such as case studies on Île-de-France history and cultural references in literature lessons—making pedagogical resources instantly relevant to local classrooms.</w:t>
      </w:r>
    </w:p>
    <w:p>
      <w:pPr>
        <w:numPr>
          <w:ilvl w:val="0"/>
          <w:numId w:val="1002"/>
        </w:numPr>
        <w:pStyle w:val="Compact"/>
      </w:pPr>
      <w:r>
        <w:rPr>
          <w:bCs/>
          <w:b/>
        </w:rPr>
        <w:t xml:space="preserve">Professional Development:</w:t>
      </w:r>
      <w:r>
        <w:t xml:space="preserve"> </w:t>
      </w:r>
      <w:r>
        <w:t xml:space="preserve">The "Teacher Secondary Academy" program offers certified training exclusively for Paris educators. This initiative has generated 127 qualified referrals from satisfied users, directly boosting sales in our target market.</w:t>
      </w:r>
    </w:p>
    <w:bookmarkEnd w:id="25"/>
    <w:bookmarkStart w:id="26" w:name="v.-challenges-strategic-response"/>
    <w:p>
      <w:pPr>
        <w:pStyle w:val="Heading2"/>
      </w:pPr>
      <w:r>
        <w:t xml:space="preserve">V. Challenges &amp; Strategic Response</w:t>
      </w:r>
    </w:p>
    <w:p>
      <w:pPr>
        <w:pStyle w:val="FirstParagraph"/>
      </w:pPr>
      <w:r>
        <w:t xml:space="preserve">While results are strong, two critical challenges emerged in France Paris:</w:t>
      </w:r>
    </w:p>
    <w:p>
      <w:pPr>
        <w:numPr>
          <w:ilvl w:val="0"/>
          <w:numId w:val="1003"/>
        </w:numPr>
        <w:pStyle w:val="Compact"/>
      </w:pPr>
      <w:r>
        <w:rPr>
          <w:bCs/>
          <w:b/>
        </w:rPr>
        <w:t xml:space="preserve">Administrative Complexity:</w:t>
      </w:r>
      <w:r>
        <w:t xml:space="preserve"> </w:t>
      </w:r>
      <w:r>
        <w:t xml:space="preserve">Paris school bureaucracies require multiple approval layers. Our response: Created a dedicated "Paris Compliance Officer" role handling regional paperwork, reducing onboarding time by 50%.</w:t>
      </w:r>
    </w:p>
    <w:p>
      <w:pPr>
        <w:numPr>
          <w:ilvl w:val="0"/>
          <w:numId w:val="1003"/>
        </w:numPr>
        <w:pStyle w:val="Compact"/>
      </w:pPr>
      <w:r>
        <w:rPr>
          <w:bCs/>
          <w:b/>
        </w:rPr>
        <w:t xml:space="preserve">Competition in Digital Education:</w:t>
      </w:r>
      <w:r>
        <w:t xml:space="preserve"> </w:t>
      </w:r>
      <w:r>
        <w:t xml:space="preserve">French edtech startups targeting secondary teachers increased by 22% in Paris. Countermeasure: Launched "Teacher Secondary Premium" package with exclusive Parisian educator networking events, increasing client retention by 18%.</w:t>
      </w:r>
    </w:p>
    <w:bookmarkEnd w:id="26"/>
    <w:bookmarkStart w:id="27" w:name="vi.-strategic-recommendations-for-q4"/>
    <w:p>
      <w:pPr>
        <w:pStyle w:val="Heading2"/>
      </w:pPr>
      <w:r>
        <w:t xml:space="preserve">VI. Strategic Recommendations for Q4</w:t>
      </w:r>
    </w:p>
    <w:p>
      <w:pPr>
        <w:pStyle w:val="FirstParagraph"/>
      </w:pPr>
      <w:r>
        <w:t xml:space="preserve">To sustain momentum in France Paris, we recommend:</w:t>
      </w:r>
    </w:p>
    <w:p>
      <w:pPr>
        <w:numPr>
          <w:ilvl w:val="0"/>
          <w:numId w:val="1004"/>
        </w:numPr>
        <w:pStyle w:val="Compact"/>
      </w:pPr>
      <w:r>
        <w:rPr>
          <w:bCs/>
          <w:b/>
        </w:rPr>
        <w:t xml:space="preserve">Expand Teacher Secondary Partnerships with Parisian Educational Authorities:</w:t>
      </w:r>
      <w:r>
        <w:t xml:space="preserve"> </w:t>
      </w:r>
      <w:r>
        <w:t xml:space="preserve">Target collaboration with the Académie de Paris to embed Teacher Secondary into municipal teacher training programs. This would accelerate adoption across 300+ schools.</w:t>
      </w:r>
    </w:p>
    <w:p>
      <w:pPr>
        <w:numPr>
          <w:ilvl w:val="0"/>
          <w:numId w:val="1004"/>
        </w:numPr>
        <w:pStyle w:val="Compact"/>
      </w:pPr>
      <w:r>
        <w:rPr>
          <w:bCs/>
          <w:b/>
        </w:rPr>
        <w:t xml:space="preserve">Develop Bilingual Teacher Secondary Modules:</w:t>
      </w:r>
      <w:r>
        <w:t xml:space="preserve"> </w:t>
      </w:r>
      <w:r>
        <w:t xml:space="preserve">Create French/English resources for international schools in Paris (e.g., Lycée International de la Touraine). This addresses a €4M untapped market segment.</w:t>
      </w:r>
    </w:p>
    <w:p>
      <w:pPr>
        <w:numPr>
          <w:ilvl w:val="0"/>
          <w:numId w:val="1004"/>
        </w:numPr>
        <w:pStyle w:val="Compact"/>
      </w:pPr>
      <w:r>
        <w:rPr>
          <w:bCs/>
          <w:b/>
        </w:rPr>
        <w:t xml:space="preserve">Leverage Parisian Education Fairs:</w:t>
      </w:r>
      <w:r>
        <w:t xml:space="preserve"> </w:t>
      </w:r>
      <w:r>
        <w:t xml:space="preserve">Secure booth at the upcoming Salon de l'Éducation de Paris (November 2023) for direct Teacher Secondary demonstrations. Past participation generated 73 qualified leads per event.</w:t>
      </w:r>
    </w:p>
    <w:bookmarkEnd w:id="27"/>
    <w:bookmarkStart w:id="28" w:name="Xc591cf4060b205c31dad0a488071df3a753f026"/>
    <w:p>
      <w:pPr>
        <w:pStyle w:val="Heading2"/>
      </w:pPr>
      <w:r>
        <w:t xml:space="preserve">VII. Conclusion: The Future of Teacher Secondary in France Paris</w:t>
      </w:r>
    </w:p>
    <w:p>
      <w:pPr>
        <w:pStyle w:val="FirstParagraph"/>
      </w:pPr>
      <w:r>
        <w:t xml:space="preserve">The Q3 Sales Report demonstrates that Teacher Secondary solutions are not merely selling—they are becoming indispensable to Parisian educators navigating complex secondary education demands. Our data shows that schools using Teacher Secondary reduce teacher burnout by 31% while increasing student engagement metrics, directly addressing key pain points in France Paris' education system. The 28% growth in new contracts across the capital proves that specialized pedagogical tools with cultural intelligence outperform generic competitors. As we move into Q4, our focus remains unwavering: to deepen Teacher Secondary integration within Parisian schools while expanding our leadership position across all educational levels in France.</w:t>
      </w:r>
    </w:p>
    <w:p>
      <w:pPr>
        <w:pStyle w:val="BodyText"/>
      </w:pPr>
      <w:r>
        <w:t xml:space="preserve">With the French government prioritizing digital transformation in secondary education, and Paris serving as the nation's educational innovation laboratory, Teacher Secondary is positioned for exponential growth. We project a 45% market share in France Paris by Q2 2024—making this Sales Report a testament to our strategic vision for how technology transforms teaching excellence in one of Europe's most dynamic education markets.</w:t>
      </w:r>
    </w:p>
    <w:p>
      <w:pPr>
        <w:pStyle w:val="BodyText"/>
      </w:pPr>
      <w:r>
        <w:rPr>
          <w:bCs/>
          <w:b/>
        </w:rPr>
        <w:t xml:space="preserve">Prepared By:</w:t>
      </w:r>
      <w:r>
        <w:t xml:space="preserve"> </w:t>
      </w:r>
      <w:r>
        <w:t xml:space="preserve">Marie Dubois, Head of Sales - France &amp; Benelux</w:t>
      </w:r>
      <w:r>
        <w:br/>
      </w:r>
      <w:r>
        <w:rPr>
          <w:bCs/>
          <w:b/>
        </w:rPr>
        <w:t xml:space="preserve">Verified By:</w:t>
      </w:r>
      <w:r>
        <w:t xml:space="preserve"> </w:t>
      </w:r>
      <w:r>
        <w:t xml:space="preserve">Jean-Luc Moreau, Regional Director, Education Division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 France Paris</dc:title>
  <dc:creator/>
  <dc:language>en</dc:language>
  <cp:keywords/>
  <dcterms:created xsi:type="dcterms:W3CDTF">2026-07-21T10:41:16Z</dcterms:created>
  <dcterms:modified xsi:type="dcterms:W3CDTF">2026-07-21T10:41:16Z</dcterms:modified>
</cp:coreProperties>
</file>

<file path=docProps/custom.xml><?xml version="1.0" encoding="utf-8"?>
<Properties xmlns="http://schemas.openxmlformats.org/officeDocument/2006/custom-properties" xmlns:vt="http://schemas.openxmlformats.org/officeDocument/2006/docPropsVTypes"/>
</file>