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Secondary</w:t>
      </w:r>
      <w:r>
        <w:t xml:space="preserve"> </w:t>
      </w:r>
      <w:r>
        <w:t xml:space="preserve">Teacher</w:t>
      </w:r>
      <w:r>
        <w:t xml:space="preserve"> </w:t>
      </w:r>
      <w:r>
        <w:t xml:space="preserve">Recruitment</w:t>
      </w:r>
      <w:r>
        <w:t xml:space="preserve"> </w:t>
      </w:r>
      <w:r>
        <w:t xml:space="preserve">Services</w:t>
      </w:r>
      <w:r>
        <w:t xml:space="preserve"> </w:t>
      </w:r>
      <w:r>
        <w:t xml:space="preserve">-</w:t>
      </w:r>
      <w:r>
        <w:t xml:space="preserve"> </w:t>
      </w:r>
      <w:r>
        <w:t xml:space="preserve">Germany</w:t>
      </w:r>
      <w:r>
        <w:t xml:space="preserve"> </w:t>
      </w:r>
      <w:r>
        <w:t xml:space="preserve">Berlin</w:t>
      </w:r>
    </w:p>
    <w:bookmarkStart w:id="27" w:name="Xdad9c2f98e85db7b6e3bf87802babb1fd3a8eb2"/>
    <w:p>
      <w:pPr>
        <w:pStyle w:val="Heading1"/>
      </w:pPr>
      <w:r>
        <w:t xml:space="preserve">Quarterly Sales Report: Strategic Growth in Secondary Teacher Recruitment for the Berlin Education Market (Q3 2023)</w:t>
      </w:r>
    </w:p>
    <w:bookmarkStart w:id="20" w:name="executive-summary"/>
    <w:p>
      <w:pPr>
        <w:pStyle w:val="Heading2"/>
      </w:pPr>
      <w:r>
        <w:t xml:space="preserve">Executive Summary</w:t>
      </w:r>
    </w:p>
    <w:p>
      <w:pPr>
        <w:pStyle w:val="FirstParagraph"/>
      </w:pPr>
      <w:r>
        <w:t xml:space="preserve">This report details the performance of our secondary teacher recruitment services within Germany Berlin's education sector during Q3 2023. The market continues to experience significant demand for qualified Secondary Teachers, driven by demographic shifts, curriculum modernization initiatives, and post-pandemic recovery needs. Our strategic focus on Berlin's unique educational landscape has yielded a 18% increase in placement volume compared to Q2, with particular success in securing contracts with key institutions across the city. This report underscores our competitive positioning as the leading provider for</w:t>
      </w:r>
      <w:r>
        <w:t xml:space="preserve"> </w:t>
      </w:r>
      <w:r>
        <w:rPr>
          <w:bCs/>
          <w:b/>
        </w:rPr>
        <w:t xml:space="preserve">Teacher Secondary</w:t>
      </w:r>
      <w:r>
        <w:t xml:space="preserve"> </w:t>
      </w:r>
      <w:r>
        <w:t xml:space="preserve">recruitment solutions in Germany Berlin, addressing critical staffing gaps while aligning with Berlin's educational priorities.</w:t>
      </w:r>
    </w:p>
    <w:bookmarkEnd w:id="20"/>
    <w:bookmarkStart w:id="21" w:name="X236cec7fea9ef9af88137a4bd1ad7a77c5d8ae5"/>
    <w:p>
      <w:pPr>
        <w:pStyle w:val="Heading2"/>
      </w:pPr>
      <w:r>
        <w:t xml:space="preserve">Market Context: The Berlin Secondary Education Landscape</w:t>
      </w:r>
    </w:p>
    <w:p>
      <w:pPr>
        <w:pStyle w:val="FirstParagraph"/>
      </w:pPr>
      <w:r>
        <w:t xml:space="preserve">Berlin represents a pivotal market for secondary education recruitment within Germany. With over 548 state-run secondary schools (including Gymnasien, Gesamtschulen, and Realschulen) serving approximately 300,000 students aged 11-18, the demand for specialized</w:t>
      </w:r>
      <w:r>
        <w:t xml:space="preserve"> </w:t>
      </w:r>
      <w:r>
        <w:rPr>
          <w:bCs/>
          <w:b/>
        </w:rPr>
        <w:t xml:space="preserve">Teacher Secondary</w:t>
      </w:r>
      <w:r>
        <w:t xml:space="preserve"> </w:t>
      </w:r>
      <w:r>
        <w:t xml:space="preserve">talent is acute. Berlin's Department of Education has prioritized reducing class sizes and enhancing STEM/IT integration in secondary curricula (Berlin School Reform Act 2022), creating a structural need for approximately 450 new qualified secondary teachers annually. Current vacancy rates stand at 12.7% for core subjects (Mathematics, Physics, German Language), significantly above the national average of 8.3%. This context makes Berlin a high-potential market for targeted</w:t>
      </w:r>
      <w:r>
        <w:t xml:space="preserve"> </w:t>
      </w:r>
      <w:r>
        <w:rPr>
          <w:bCs/>
          <w:b/>
        </w:rPr>
        <w:t xml:space="preserve">Teacher Secondary</w:t>
      </w:r>
      <w:r>
        <w:t xml:space="preserve"> </w:t>
      </w:r>
      <w:r>
        <w:t xml:space="preserve">recruitment services.</w:t>
      </w:r>
    </w:p>
    <w:bookmarkEnd w:id="21"/>
    <w:bookmarkStart w:id="22" w:name="X9a6c4d6945a89e51738826ee6b538cc5cf78de8"/>
    <w:p>
      <w:pPr>
        <w:pStyle w:val="Heading2"/>
      </w:pPr>
      <w:r>
        <w:t xml:space="preserve">Sales Performance Analysis: Q3 2023 Results</w:t>
      </w:r>
    </w:p>
    <w:p>
      <w:pPr>
        <w:pStyle w:val="FirstParagraph"/>
      </w:pPr>
      <w:r>
        <w:rPr>
          <w:bCs/>
          <w:b/>
        </w:rPr>
        <w:t xml:space="preserve">Placement Volume:</w:t>
      </w:r>
      <w:r>
        <w:t xml:space="preserve"> </w:t>
      </w:r>
      <w:r>
        <w:t xml:space="preserve">Successfully placed 147 qualified Secondary Teachers across 38 Berlin schools, a 18.6% quarterly increase. Key growth areas include:</w:t>
      </w:r>
    </w:p>
    <w:p>
      <w:pPr>
        <w:numPr>
          <w:ilvl w:val="0"/>
          <w:numId w:val="1001"/>
        </w:numPr>
        <w:pStyle w:val="Compact"/>
      </w:pPr>
      <w:r>
        <w:rPr>
          <w:bCs/>
          <w:b/>
        </w:rPr>
        <w:t xml:space="preserve">STEM Subjects:</w:t>
      </w:r>
      <w:r>
        <w:t xml:space="preserve"> </w:t>
      </w:r>
      <w:r>
        <w:t xml:space="preserve">+27% placements (Physics: +35%, Computer Science: +22%)</w:t>
      </w:r>
    </w:p>
    <w:p>
      <w:pPr>
        <w:numPr>
          <w:ilvl w:val="0"/>
          <w:numId w:val="1001"/>
        </w:numPr>
        <w:pStyle w:val="Compact"/>
      </w:pPr>
      <w:r>
        <w:rPr>
          <w:bCs/>
          <w:b/>
        </w:rPr>
        <w:t xml:space="preserve">Dual-Language Programs:</w:t>
      </w:r>
      <w:r>
        <w:t xml:space="preserve"> </w:t>
      </w:r>
      <w:r>
        <w:t xml:space="preserve">+41% demand for German-English/French bilingual Secondary Teachers</w:t>
      </w:r>
    </w:p>
    <w:p>
      <w:pPr>
        <w:numPr>
          <w:ilvl w:val="0"/>
          <w:numId w:val="1001"/>
        </w:numPr>
        <w:pStyle w:val="Compact"/>
      </w:pPr>
      <w:r>
        <w:rPr>
          <w:bCs/>
          <w:b/>
        </w:rPr>
        <w:t xml:space="preserve">Inclusive Education Specialists:</w:t>
      </w:r>
      <w:r>
        <w:t xml:space="preserve"> </w:t>
      </w:r>
      <w:r>
        <w:t xml:space="preserve">19 new placements supporting students with special needs (up 38% YoY)</w:t>
      </w:r>
    </w:p>
    <w:p>
      <w:pPr>
        <w:pStyle w:val="FirstParagraph"/>
      </w:pPr>
      <w:r>
        <w:rPr>
          <w:bCs/>
          <w:b/>
        </w:rPr>
        <w:t xml:space="preserve">Revenue Growth:</w:t>
      </w:r>
      <w:r>
        <w:t xml:space="preserve"> </w:t>
      </w:r>
      <w:r>
        <w:t xml:space="preserve">Generated €542,000 in sales revenue from recruitment services, exceeding the Q3 target by 15.2%. The average contract value per Secondary Teacher placement increased to €3,680 (up 7.3% YoY), reflecting premium pricing for specialized STEM and bilingual expertise.</w:t>
      </w:r>
    </w:p>
    <w:p>
      <w:pPr>
        <w:pStyle w:val="BodyText"/>
      </w:pPr>
      <w:r>
        <w:rPr>
          <w:bCs/>
          <w:b/>
        </w:rPr>
        <w:t xml:space="preserve">Key Client Acquisition:</w:t>
      </w:r>
      <w:r>
        <w:t xml:space="preserve"> </w:t>
      </w:r>
      <w:r>
        <w:t xml:space="preserve">Secured five new institutional contracts with major Berlin school networks:</w:t>
      </w:r>
    </w:p>
    <w:p>
      <w:pPr>
        <w:numPr>
          <w:ilvl w:val="0"/>
          <w:numId w:val="1002"/>
        </w:numPr>
        <w:pStyle w:val="Compact"/>
      </w:pPr>
      <w:r>
        <w:t xml:space="preserve">Berlin School Network "Lernen für die Zukunft" (120 placements planned over 2 years)</w:t>
      </w:r>
    </w:p>
    <w:p>
      <w:pPr>
        <w:numPr>
          <w:ilvl w:val="0"/>
          <w:numId w:val="1002"/>
        </w:numPr>
        <w:pStyle w:val="Compact"/>
      </w:pPr>
      <w:r>
        <w:t xml:space="preserve">Schulträger Mitte (Focus on digital pedagogy training for Secondary Teachers)</w:t>
      </w:r>
    </w:p>
    <w:p>
      <w:pPr>
        <w:numPr>
          <w:ilvl w:val="0"/>
          <w:numId w:val="1002"/>
        </w:numPr>
        <w:pStyle w:val="Compact"/>
      </w:pPr>
      <w:r>
        <w:t xml:space="preserve">Stiftung Bildungsinitiative Berlin (Targeting underrepresented demographics in Teacher Secondary roles)</w:t>
      </w:r>
    </w:p>
    <w:bookmarkEnd w:id="22"/>
    <w:bookmarkStart w:id="23" w:name="X56e4221f6524d1ddad1abf13a120864604902ea"/>
    <w:p>
      <w:pPr>
        <w:pStyle w:val="Heading2"/>
      </w:pPr>
      <w:r>
        <w:t xml:space="preserve">Strategic Alignment with Berlin's Educational Priorities</w:t>
      </w:r>
    </w:p>
    <w:p>
      <w:pPr>
        <w:pStyle w:val="FirstParagraph"/>
      </w:pPr>
      <w:r>
        <w:t xml:space="preserve">Our sales strategy directly addresses Berlin-specific educational imperatives. The city’s "Digital School Strategy 2030" requires all Secondary Teachers to undergo digital literacy certification by 2025. Our recruitment process now includes mandatory digital pedagogy assessments for all candidates, positioning us as an enabler of Berlin's strategic goals. Additionally, we partnered with the Berlin Senate Department for Education on a pilot program (Q3) training 150 Secondary Teachers in inclusive teaching methodologies – a service directly tied to our sales pipeline.</w:t>
      </w:r>
    </w:p>
    <w:p>
      <w:pPr>
        <w:pStyle w:val="BodyText"/>
      </w:pPr>
      <w:r>
        <w:t xml:space="preserve">Crucially, we adapted our candidate sourcing strategy to target Berlin’s unique talent pool. This included:</w:t>
      </w:r>
    </w:p>
    <w:p>
      <w:pPr>
        <w:numPr>
          <w:ilvl w:val="0"/>
          <w:numId w:val="1003"/>
        </w:numPr>
        <w:pStyle w:val="Compact"/>
      </w:pPr>
      <w:r>
        <w:t xml:space="preserve">Partnering with Humboldt University’s Teacher Training Program for direct access to graduating Secondary Teacher candidates</w:t>
      </w:r>
    </w:p>
    <w:p>
      <w:pPr>
        <w:numPr>
          <w:ilvl w:val="0"/>
          <w:numId w:val="1003"/>
        </w:numPr>
        <w:pStyle w:val="Compact"/>
      </w:pPr>
      <w:r>
        <w:t xml:space="preserve">Launching a dedicated German-language recruitment portal targeting international educators (with focus on EU-27 qualifications recognized under Berlin's "Bildungswege" framework)</w:t>
      </w:r>
    </w:p>
    <w:bookmarkEnd w:id="23"/>
    <w:bookmarkStart w:id="24" w:name="challenges-and-mitigation-strategies"/>
    <w:p>
      <w:pPr>
        <w:pStyle w:val="Heading2"/>
      </w:pPr>
      <w:r>
        <w:t xml:space="preserve">Challenges and Mitigation Strategies</w:t>
      </w:r>
    </w:p>
    <w:p>
      <w:pPr>
        <w:pStyle w:val="FirstParagraph"/>
      </w:pPr>
      <w:r>
        <w:t xml:space="preserve">The primary challenge in Germany Berlin remains the competitive talent acquisition landscape. We observed:</w:t>
      </w:r>
    </w:p>
    <w:p>
      <w:pPr>
        <w:numPr>
          <w:ilvl w:val="0"/>
          <w:numId w:val="1004"/>
        </w:numPr>
        <w:pStyle w:val="Compact"/>
      </w:pPr>
      <w:r>
        <w:rPr>
          <w:bCs/>
          <w:b/>
        </w:rPr>
        <w:t xml:space="preserve">Salary Compression:</w:t>
      </w:r>
      <w:r>
        <w:t xml:space="preserve"> </w:t>
      </w:r>
      <w:r>
        <w:t xml:space="preserve">68% of Berlin Secondary Teachers cited salary concerns as a barrier to new roles. Our solution: introduced "Career Acceleration Packages" including performance-based bonuses and housing subsidies for non-Berlin residents.</w:t>
      </w:r>
    </w:p>
    <w:p>
      <w:pPr>
        <w:numPr>
          <w:ilvl w:val="0"/>
          <w:numId w:val="1004"/>
        </w:numPr>
        <w:pStyle w:val="Compact"/>
      </w:pPr>
      <w:r>
        <w:rPr>
          <w:bCs/>
          <w:b/>
        </w:rPr>
        <w:t xml:space="preserve">Administrative Burden:</w:t>
      </w:r>
      <w:r>
        <w:t xml:space="preserve"> </w:t>
      </w:r>
      <w:r>
        <w:t xml:space="preserve">School hiring processes remain slow (avg. 84 days from interview to offer). Mitigation: Developed a Berlin-specific "Fast-Track Certification" program, reducing processing time by 37% through streamlined documentation aligned with Berlin school regulations.</w:t>
      </w:r>
    </w:p>
    <w:bookmarkEnd w:id="24"/>
    <w:bookmarkStart w:id="25" w:name="market-insights-future-sales-strategy"/>
    <w:p>
      <w:pPr>
        <w:pStyle w:val="Heading2"/>
      </w:pPr>
      <w:r>
        <w:t xml:space="preserve">Market Insights &amp; Future Sales Strategy</w:t>
      </w:r>
    </w:p>
    <w:p>
      <w:pPr>
        <w:pStyle w:val="FirstParagraph"/>
      </w:pPr>
      <w:r>
        <w:t xml:space="preserve">Analysis confirms that schools in Berlin's eastern districts (e.g., Marzahn-Hellersdorf, Lichtenberg) face the highest Secondary Teacher shortages (15.8% vacancy rate), while western districts show lower demand but higher salary expectations. Our sales team has reallocated 30% of resources to target these high-need regions in Q4 2023.</w:t>
      </w:r>
    </w:p>
    <w:p>
      <w:pPr>
        <w:pStyle w:val="BodyText"/>
      </w:pPr>
      <w:r>
        <w:t xml:space="preserve">Emerging opportunities include:</w:t>
      </w:r>
    </w:p>
    <w:p>
      <w:pPr>
        <w:numPr>
          <w:ilvl w:val="0"/>
          <w:numId w:val="1005"/>
        </w:numPr>
        <w:pStyle w:val="Compact"/>
      </w:pPr>
      <w:r>
        <w:rPr>
          <w:bCs/>
          <w:b/>
        </w:rPr>
        <w:t xml:space="preserve">AI-Powered Matching:</w:t>
      </w:r>
      <w:r>
        <w:t xml:space="preserve"> </w:t>
      </w:r>
      <w:r>
        <w:t xml:space="preserve">Berlin schools are seeking tools to predict teacher retention. We launched "TeacherFit Berlin" AI matching, now included in 18% of new contracts.</w:t>
      </w:r>
    </w:p>
    <w:p>
      <w:pPr>
        <w:numPr>
          <w:ilvl w:val="0"/>
          <w:numId w:val="1005"/>
        </w:numPr>
        <w:pStyle w:val="Compact"/>
      </w:pPr>
      <w:r>
        <w:rPr>
          <w:bCs/>
          <w:b/>
        </w:rPr>
        <w:t xml:space="preserve">Multicultural Teacher Support:</w:t>
      </w:r>
      <w:r>
        <w:t xml:space="preserve"> </w:t>
      </w:r>
      <w:r>
        <w:t xml:space="preserve">With 32% of Berlin students having migration backgrounds, demand for culturally competent Secondary Teachers is rising (projected +25% growth).</w:t>
      </w:r>
    </w:p>
    <w:bookmarkEnd w:id="25"/>
    <w:bookmarkStart w:id="26" w:name="X053308f97fb84ba4ba61e7faaead1c5ec89bed8"/>
    <w:p>
      <w:pPr>
        <w:pStyle w:val="Heading2"/>
      </w:pPr>
      <w:r>
        <w:t xml:space="preserve">Conclusion: Sustaining Growth in Berlin's Competitive Market</w:t>
      </w:r>
    </w:p>
    <w:p>
      <w:pPr>
        <w:pStyle w:val="FirstParagraph"/>
      </w:pPr>
      <w:r>
        <w:t xml:space="preserve">The Q3 performance underscores the efficacy of our Germany Berlin-focused sales strategy for</w:t>
      </w:r>
      <w:r>
        <w:t xml:space="preserve"> </w:t>
      </w:r>
      <w:r>
        <w:rPr>
          <w:bCs/>
          <w:b/>
        </w:rPr>
        <w:t xml:space="preserve">Teacher Secondary</w:t>
      </w:r>
      <w:r>
        <w:t xml:space="preserve"> </w:t>
      </w:r>
      <w:r>
        <w:t xml:space="preserve">recruitment. By embedding ourselves within Berlin’s educational ecosystem—adapting to local regulations, leveraging city-specific data, and aligning with Berlin Senate initiatives—we have established a defensible market position. The 18% quarterly growth in placements directly correlates with our deepening understanding of the Berlin secondary education market's unique challenges and opportunities.</w:t>
      </w:r>
    </w:p>
    <w:p>
      <w:pPr>
        <w:pStyle w:val="BodyText"/>
      </w:pPr>
      <w:r>
        <w:t xml:space="preserve">Going forward, we will intensify efforts on:</w:t>
      </w:r>
    </w:p>
    <w:p>
      <w:pPr>
        <w:numPr>
          <w:ilvl w:val="0"/>
          <w:numId w:val="1006"/>
        </w:numPr>
        <w:pStyle w:val="Compact"/>
      </w:pPr>
      <w:r>
        <w:t xml:space="preserve">Expanding partnerships with Berlin’s Teacher Training Institutes</w:t>
      </w:r>
    </w:p>
    <w:p>
      <w:pPr>
        <w:numPr>
          <w:ilvl w:val="0"/>
          <w:numId w:val="1006"/>
        </w:numPr>
        <w:pStyle w:val="Compact"/>
      </w:pPr>
      <w:r>
        <w:t xml:space="preserve">Piloting a "Berlin Secondary Teacher Residency Program" (target: 50 new placements by Q1 2024)</w:t>
      </w:r>
    </w:p>
    <w:p>
      <w:pPr>
        <w:numPr>
          <w:ilvl w:val="0"/>
          <w:numId w:val="1006"/>
        </w:numPr>
        <w:pStyle w:val="Compact"/>
      </w:pPr>
      <w:r>
        <w:t xml:space="preserve">Developing industry-specific analytics for Berlin school networks to forecast their secondary teacher needs</w:t>
      </w:r>
    </w:p>
    <w:p>
      <w:pPr>
        <w:pStyle w:val="FirstParagraph"/>
      </w:pPr>
      <w:r>
        <w:t xml:space="preserve">For Germany Berlin, the path forward is clear: Continued investment in hyper-localized recruitment solutions for Secondary Teachers will drive sustainable growth. Our Q3 results prove that specialized market understanding translates directly into sales success. We project a 25% year-over-year revenue increase for Teacher Secondary services in Berlin by Q1 2024, positioning us as the indispensable partner for educational institutions navigating Berlin’s evolving secondary education landscape.</w:t>
      </w:r>
    </w:p>
    <w:p>
      <w:pPr>
        <w:pStyle w:val="BodyText"/>
      </w:pPr>
      <w:r>
        <w:rPr>
          <w:iCs/>
          <w:i/>
        </w:rPr>
        <w:t xml:space="preserve">Prepared for: Executive Leadership &amp; Strategic Partnerships | Date: October 15, 2023 | Prepared By: Global Education Recruitment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Secondary Teacher Recruitment Services - Germany Berlin</dc:title>
  <dc:creator/>
  <dc:language>en</dc:language>
  <cp:keywords/>
  <dcterms:created xsi:type="dcterms:W3CDTF">2026-07-23T12:57:27Z</dcterms:created>
  <dcterms:modified xsi:type="dcterms:W3CDTF">2026-07-23T12:57:27Z</dcterms:modified>
</cp:coreProperties>
</file>

<file path=docProps/custom.xml><?xml version="1.0" encoding="utf-8"?>
<Properties xmlns="http://schemas.openxmlformats.org/officeDocument/2006/custom-properties" xmlns:vt="http://schemas.openxmlformats.org/officeDocument/2006/docPropsVTypes"/>
</file>