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aa3d0f176e6fbfc44f97994cec2292d86403620"/>
    <w:p>
      <w:pPr>
        <w:pStyle w:val="Heading1"/>
      </w:pPr>
      <w:r>
        <w:t xml:space="preserve">QUARTERLY SALES REPORT: SECONDARY TEACHER SERVICES IN FRANKFURT, GERMANY</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of our Teacher Secondary service offerings within the Frankfurt metropolitan education ecosystem. As a leading provider of specialized professional development solutions for secondary educators in Germany, our Frankfurt operations achieved remarkable growth during Q3 2023. We surpassed quarterly targets by 18.7% ($428,500 revenue vs. $361,000 target), driven by strategic partnerships with municipal education authorities and growing demand for modern pedagogical training in the region's secondary schools.</w:t>
      </w:r>
    </w:p>
    <w:p>
      <w:pPr>
        <w:pStyle w:val="BodyText"/>
      </w:pPr>
      <w:r>
        <w:t xml:space="preserve">Crucially, this success reflects our deep understanding of Germany's unique educational framework—particularly its secondary school (Sekundarstufe) structure where Teacher Secondary professionals serve as pivotal change agents. Frankfurt's position as Germany's financial capital and its diverse international student population have created unprecedented opportunities for innovative teaching solutions, positioning us at the forefront of this market.</w:t>
      </w:r>
    </w:p>
    <w:bookmarkEnd w:id="20"/>
    <w:bookmarkStart w:id="22" w:name="Xd1ae85f16ec9a8e48493c0652d4a559d44c1f38"/>
    <w:p>
      <w:pPr>
        <w:pStyle w:val="Heading2"/>
      </w:pPr>
      <w:r>
        <w:t xml:space="preserve">MARKET ANALYSIS: SECONDARY EDUCATION IN FRANKFURT, GERMANY</w:t>
      </w:r>
    </w:p>
    <w:p>
      <w:pPr>
        <w:pStyle w:val="FirstParagraph"/>
      </w:pPr>
      <w:r>
        <w:t xml:space="preserve">Frankfurt's secondary education landscape presents distinct dynamics critical to our strategy. With over 140 secondary schools (including Gymnasien, Realschulen, and Gesamtschulen) serving 125,000+ students across the city-state of Hesse, there is acute demand for specialized teacher development. The German Ministry of Education's recent "Digital Learning Agenda 2030" has intensified pressure on Teacher Secondary staff to master digital pedagogy and inclusive teaching methodologies—directly aligning with our core service offerings.</w:t>
      </w:r>
    </w:p>
    <w:bookmarkStart w:id="21" w:name="key-frankfurt-market-insights"/>
    <w:p>
      <w:pPr>
        <w:pStyle w:val="Heading3"/>
      </w:pPr>
      <w:r>
        <w:t xml:space="preserve">Key Frankfurt Market Insights:</w:t>
      </w:r>
    </w:p>
    <w:p>
      <w:pPr>
        <w:numPr>
          <w:ilvl w:val="0"/>
          <w:numId w:val="1001"/>
        </w:numPr>
        <w:pStyle w:val="Compact"/>
      </w:pPr>
      <w:r>
        <w:rPr>
          <w:bCs/>
          <w:b/>
        </w:rPr>
        <w:t xml:space="preserve">Teacher Shortage Crisis:</w:t>
      </w:r>
      <w:r>
        <w:t xml:space="preserve"> </w:t>
      </w:r>
      <w:r>
        <w:t xml:space="preserve">Frankfurt reports a 22% vacancy rate among secondary school teachers (Hessian State Ministry of Education, Q1 2023), creating urgent need for professional development programs that accelerate teacher competency.</w:t>
      </w:r>
    </w:p>
    <w:p>
      <w:pPr>
        <w:numPr>
          <w:ilvl w:val="0"/>
          <w:numId w:val="1001"/>
        </w:numPr>
        <w:pStyle w:val="Compact"/>
      </w:pPr>
      <w:r>
        <w:rPr>
          <w:bCs/>
          <w:b/>
        </w:rPr>
        <w:t xml:space="preserve">International Demands:</w:t>
      </w:r>
      <w:r>
        <w:t xml:space="preserve"> </w:t>
      </w:r>
      <w:r>
        <w:t xml:space="preserve">With 45% of Frankfurt's secondary students speaking a language other than German at home, Teacher Secondary professionals require specialized training in multilingual pedagogy—our most requested service segment.</w:t>
      </w:r>
    </w:p>
    <w:p>
      <w:pPr>
        <w:numPr>
          <w:ilvl w:val="0"/>
          <w:numId w:val="1001"/>
        </w:numPr>
        <w:pStyle w:val="Compact"/>
      </w:pPr>
      <w:r>
        <w:rPr>
          <w:bCs/>
          <w:b/>
        </w:rPr>
        <w:t xml:space="preserve">Policy Alignment:</w:t>
      </w:r>
      <w:r>
        <w:t xml:space="preserve"> </w:t>
      </w:r>
      <w:r>
        <w:t xml:space="preserve">All new education contracts in Frankfurt now mandate digital competency certification for Teacher Secondary staff, directly boosting our LMS (Learning Management System) adoption by 37% this quarter.</w:t>
      </w:r>
    </w:p>
    <w:bookmarkEnd w:id="21"/>
    <w:p>
      <w:pPr>
        <w:pStyle w:val="FirstParagraph"/>
      </w:pPr>
      <w:r>
        <w:t xml:space="preserve">The local market's emphasis on the "Pädagogischer Berufskompass" framework—Germany's standardized teacher career development system—has enabled us to structure service packages that seamlessly integrate with Frankfurt school administrations' compliance requirements.</w:t>
      </w:r>
    </w:p>
    <w:bookmarkEnd w:id="22"/>
    <w:bookmarkStart w:id="23" w:name="sales-performance-q3-2023-overview"/>
    <w:p>
      <w:pPr>
        <w:pStyle w:val="Heading2"/>
      </w:pPr>
      <w:r>
        <w:t xml:space="preserve">SALES PERFORMANCE: Q3 2023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Digital Pedagogy Certification (Teacher Secondary)</w:t>
            </w:r>
          </w:p>
        </w:tc>
        <w:tc>
          <w:tcPr/>
          <w:p>
            <w:pPr>
              <w:pStyle w:val="Compact"/>
              <w:jc w:val="left"/>
            </w:pPr>
            <w:r>
              <w:t xml:space="preserve">$214,000</w:t>
            </w:r>
          </w:p>
        </w:tc>
        <w:tc>
          <w:tcPr/>
          <w:p>
            <w:pPr>
              <w:pStyle w:val="Compact"/>
              <w:jc w:val="left"/>
            </w:pPr>
            <w:r>
              <w:t xml:space="preserve">49.7%</w:t>
            </w:r>
          </w:p>
        </w:tc>
        <w:tc>
          <w:tcPr/>
          <w:p>
            <w:pPr>
              <w:pStyle w:val="Compact"/>
              <w:jc w:val="left"/>
            </w:pPr>
            <w:r>
              <w:t xml:space="preserve">+33.2%</w:t>
            </w:r>
          </w:p>
        </w:tc>
      </w:tr>
      <w:tr>
        <w:tc>
          <w:tcPr/>
          <w:p>
            <w:pPr>
              <w:pStyle w:val="Compact"/>
              <w:jc w:val="left"/>
            </w:pPr>
            <w:r>
              <w:t xml:space="preserve">Inclusive Teaching Workshops (Secondary Focus)</w:t>
            </w:r>
          </w:p>
        </w:tc>
        <w:tc>
          <w:tcPr/>
          <w:p>
            <w:pPr>
              <w:pStyle w:val="Compact"/>
              <w:jc w:val="left"/>
            </w:pPr>
            <w:r>
              <w:t xml:space="preserve">$158,200</w:t>
            </w:r>
          </w:p>
        </w:tc>
        <w:tc>
          <w:tcPr/>
          <w:p>
            <w:pPr>
              <w:pStyle w:val="Compact"/>
              <w:jc w:val="left"/>
            </w:pPr>
            <w:r>
              <w:t xml:space="preserve">36.9%</w:t>
            </w:r>
          </w:p>
        </w:tc>
        <w:tc>
          <w:tcPr/>
          <w:p>
            <w:pPr>
              <w:pStyle w:val="Compact"/>
              <w:jc w:val="left"/>
            </w:pPr>
            <w:r>
              <w:t xml:space="preserve">+28.4%</w:t>
            </w:r>
          </w:p>
        </w:tc>
      </w:tr>
      <w:tr>
        <w:tc>
          <w:tcPr/>
          <w:p>
            <w:pPr>
              <w:pStyle w:val="Compact"/>
              <w:jc w:val="left"/>
            </w:pPr>
            <w:r>
              <w:t xml:space="preserve">Curriculum Design for Secondary Schools</w:t>
            </w:r>
          </w:p>
        </w:tc>
        <w:tc>
          <w:tcPr/>
          <w:p>
            <w:pPr>
              <w:pStyle w:val="Compact"/>
              <w:jc w:val="left"/>
            </w:pPr>
            <w:r>
              <w:t xml:space="preserve">$56,300</w:t>
            </w:r>
          </w:p>
        </w:tc>
        <w:tc>
          <w:tcPr/>
          <w:p>
            <w:pPr>
              <w:pStyle w:val="Compact"/>
              <w:jc w:val="left"/>
            </w:pPr>
            <w:r>
              <w:t xml:space="preserve">13.1%</w:t>
            </w:r>
          </w:p>
        </w:tc>
        <w:tc>
          <w:tcPr/>
          <w:p>
            <w:pPr>
              <w:pStyle w:val="Compact"/>
              <w:jc w:val="left"/>
            </w:pPr>
            <w:r>
              <w:t xml:space="preserve">+41.7%</w:t>
            </w:r>
          </w:p>
        </w:tc>
      </w:tr>
      <w:tr>
        <w:tc>
          <w:tcPr/>
          <w:p>
            <w:pPr>
              <w:pStyle w:val="Compact"/>
              <w:jc w:val="left"/>
            </w:pPr>
            <w:r>
              <w:rPr>
                <w:bCs/>
                <w:b/>
              </w:rPr>
              <w:t xml:space="preserve">TOTAL</w:t>
            </w:r>
          </w:p>
        </w:tc>
        <w:tc>
          <w:tcPr/>
          <w:p>
            <w:pPr>
              <w:pStyle w:val="Compact"/>
              <w:jc w:val="left"/>
            </w:pPr>
            <w:r>
              <w:rPr>
                <w:bCs/>
                <w:b/>
              </w:rPr>
              <w:t xml:space="preserve">$428,500</w:t>
            </w:r>
          </w:p>
        </w:tc>
        <w:tc>
          <w:tcPr/>
          <w:p>
            <w:pPr>
              <w:pStyle w:val="Compact"/>
              <w:jc w:val="left"/>
            </w:pPr>
            <w:r>
              <w:rPr>
                <w:bCs/>
                <w:b/>
              </w:rPr>
              <w:t xml:space="preserve">100%</w:t>
            </w:r>
          </w:p>
        </w:tc>
        <w:tc>
          <w:tcPr/>
          <w:p>
            <w:pPr>
              <w:pStyle w:val="Compact"/>
              <w:jc w:val="left"/>
            </w:pPr>
            <w:r>
              <w:rPr>
                <w:bCs/>
                <w:b/>
              </w:rPr>
              <w:t xml:space="preserve">+35.1%</w:t>
            </w:r>
          </w:p>
        </w:tc>
      </w:tr>
    </w:tbl>
    <w:p>
      <w:pPr>
        <w:pStyle w:val="BodyText"/>
      </w:pPr>
      <w:r>
        <w:t xml:space="preserve">Notable achievements include securing contracts with three major Frankfurt school districts (Frankfurt am Main, Offenbach, and Neu-Isenburg), representing 62% of total Q3 revenue. The most significant deal was a €185,000 multi-year agreement with the Stadt Frankfurt's Department for Education to train 347 Teacher Secondary staff across 48 secondary schools—a first for our company in Germany.</w:t>
      </w:r>
    </w:p>
    <w:bookmarkEnd w:id="23"/>
    <w:bookmarkStart w:id="26" w:name="key-challenges-strategic-responses"/>
    <w:p>
      <w:pPr>
        <w:pStyle w:val="Heading2"/>
      </w:pPr>
      <w:r>
        <w:t xml:space="preserve">KEY CHALLENGES &amp; STRATEGIC RESPONSES</w:t>
      </w:r>
    </w:p>
    <w:bookmarkStart w:id="24" w:name="Xdfca327f29e003f3ecc16df6dd6757ca1ac6d58"/>
    <w:p>
      <w:pPr>
        <w:pStyle w:val="Heading3"/>
      </w:pPr>
      <w:r>
        <w:t xml:space="preserve">Challenge: Cultural Adaptation of Training Content</w:t>
      </w:r>
    </w:p>
    <w:p>
      <w:pPr>
        <w:pStyle w:val="FirstParagraph"/>
      </w:pPr>
      <w:r>
        <w:rPr>
          <w:iCs/>
          <w:i/>
        </w:rPr>
        <w:t xml:space="preserve">Issue:</w:t>
      </w:r>
      <w:r>
        <w:t xml:space="preserve"> </w:t>
      </w:r>
      <w:r>
        <w:t xml:space="preserve">Initial German-language training modules required significant localization to align with Frankfurt's specific curriculum (e.g., Hessen curriculum framework) and teaching culture. Some Teacher Secondary staff initially resisted Western-style facilitation methods.</w:t>
      </w:r>
    </w:p>
    <w:p>
      <w:pPr>
        <w:pStyle w:val="BodyText"/>
      </w:pPr>
      <w:r>
        <w:rPr>
          <w:iCs/>
          <w:i/>
        </w:rPr>
        <w:t xml:space="preserve">Response:</w:t>
      </w:r>
      <w:r>
        <w:t xml:space="preserve"> </w:t>
      </w:r>
      <w:r>
        <w:t xml:space="preserve">We implemented a "Frankfurt Educator Co-Creation" program where local Teacher Secondary professionals co-designed modules. This increased client satisfaction scores from 78% to 94% and reduced onboarding time by 32%.</w:t>
      </w:r>
    </w:p>
    <w:bookmarkEnd w:id="24"/>
    <w:bookmarkStart w:id="25" w:name="X22f55bc4c2aba2b7516d6b26c6defb9cfbd9ec8"/>
    <w:p>
      <w:pPr>
        <w:pStyle w:val="Heading3"/>
      </w:pPr>
      <w:r>
        <w:t xml:space="preserve">Challenge: Bureaucratic Procurement Cycles</w:t>
      </w:r>
    </w:p>
    <w:p>
      <w:pPr>
        <w:pStyle w:val="FirstParagraph"/>
      </w:pPr>
      <w:r>
        <w:rPr>
          <w:iCs/>
          <w:i/>
        </w:rPr>
        <w:t xml:space="preserve">Issue:</w:t>
      </w:r>
      <w:r>
        <w:t xml:space="preserve"> </w:t>
      </w:r>
      <w:r>
        <w:t xml:space="preserve">Frankfurt school districts require lengthy procurement processes (avg. 108 days), slowing revenue recognition.</w:t>
      </w:r>
    </w:p>
    <w:p>
      <w:pPr>
        <w:pStyle w:val="BodyText"/>
      </w:pPr>
      <w:r>
        <w:rPr>
          <w:iCs/>
          <w:i/>
        </w:rPr>
        <w:t xml:space="preserve">Response:</w:t>
      </w:r>
      <w:r>
        <w:t xml:space="preserve"> </w:t>
      </w:r>
      <w:r>
        <w:t xml:space="preserve">We established a dedicated Frankfurt procurement specialist to navigate the "Vergabegesetz" (Public Procurement Act) requirements, reducing cycle times by 45% and securing three contracts ahead of schedule.</w:t>
      </w:r>
    </w:p>
    <w:bookmarkEnd w:id="25"/>
    <w:bookmarkEnd w:id="26"/>
    <w:bookmarkStart w:id="27" w:name="strategic-recommendations-for-q4-2023"/>
    <w:p>
      <w:pPr>
        <w:pStyle w:val="Heading2"/>
      </w:pPr>
      <w:r>
        <w:t xml:space="preserve">STRATEGIC RECOMMENDATIONS FOR Q4 2023</w:t>
      </w:r>
    </w:p>
    <w:p>
      <w:pPr>
        <w:numPr>
          <w:ilvl w:val="0"/>
          <w:numId w:val="1002"/>
        </w:numPr>
        <w:pStyle w:val="Compact"/>
      </w:pPr>
      <w:r>
        <w:rPr>
          <w:bCs/>
          <w:b/>
        </w:rPr>
        <w:t xml:space="preserve">Expand Digital Teacher Secondary Network:</w:t>
      </w:r>
      <w:r>
        <w:t xml:space="preserve"> </w:t>
      </w:r>
      <w:r>
        <w:t xml:space="preserve">Partner with Frankfurt University of Education (Goethe-Universität) to develop certified micro-credentials for Teacher Secondary staff, targeting 50+ schools by Q1 2024.</w:t>
      </w:r>
    </w:p>
    <w:p>
      <w:pPr>
        <w:numPr>
          <w:ilvl w:val="0"/>
          <w:numId w:val="1002"/>
        </w:numPr>
        <w:pStyle w:val="Compact"/>
      </w:pPr>
      <w:r>
        <w:rPr>
          <w:bCs/>
          <w:b/>
        </w:rPr>
        <w:t xml:space="preserve">Leverage Frankfurt's International Hub Status:</w:t>
      </w:r>
      <w:r>
        <w:t xml:space="preserve"> </w:t>
      </w:r>
      <w:r>
        <w:t xml:space="preserve">Create "Global Classroom" modules addressing cross-cultural teaching needs for the city's diverse secondary student population (45% non-native German speakers).</w:t>
      </w:r>
    </w:p>
    <w:p>
      <w:pPr>
        <w:numPr>
          <w:ilvl w:val="0"/>
          <w:numId w:val="1002"/>
        </w:numPr>
        <w:pStyle w:val="Compact"/>
      </w:pPr>
      <w:r>
        <w:rPr>
          <w:bCs/>
          <w:b/>
        </w:rPr>
        <w:t xml:space="preserve">Develop Hesse-Specific Compliance Toolkit:</w:t>
      </w:r>
      <w:r>
        <w:t xml:space="preserve"> </w:t>
      </w:r>
      <w:r>
        <w:t xml:space="preserve">Integrate mandatory state requirements into our LMS to eliminate manual compliance reporting—projected to increase contract renewal rates by 25%.</w:t>
      </w:r>
    </w:p>
    <w:p>
      <w:pPr>
        <w:numPr>
          <w:ilvl w:val="0"/>
          <w:numId w:val="1002"/>
        </w:numPr>
        <w:pStyle w:val="Compact"/>
      </w:pPr>
      <w:r>
        <w:rPr>
          <w:bCs/>
          <w:b/>
        </w:rPr>
        <w:t xml:space="preserve">Launch Teacher Secondary Success Metrics Dashboard:</w:t>
      </w:r>
      <w:r>
        <w:t xml:space="preserve"> </w:t>
      </w:r>
      <w:r>
        <w:t xml:space="preserve">Provide Frankfurt school leaders real-time analytics on teacher development ROI, directly addressing their accountability needs under the Hessian Education Standards Act.</w:t>
      </w:r>
    </w:p>
    <w:p>
      <w:pPr>
        <w:pStyle w:val="FirstParagraph"/>
      </w:pPr>
      <w:r>
        <w:t xml:space="preserve">These initiatives align with Frankfurt's "Education 2030" strategic plan and position us to capture 40% of the city's secondary teacher development market by end-2024.</w:t>
      </w:r>
    </w:p>
    <w:bookmarkEnd w:id="27"/>
    <w:bookmarkStart w:id="28" w:name="conclusion"/>
    <w:p>
      <w:pPr>
        <w:pStyle w:val="Heading2"/>
      </w:pPr>
      <w:r>
        <w:t xml:space="preserve">CONCLUSION</w:t>
      </w:r>
    </w:p>
    <w:p>
      <w:pPr>
        <w:pStyle w:val="FirstParagraph"/>
      </w:pPr>
      <w:r>
        <w:t xml:space="preserve">The Q3 success in our Teacher Secondary services within Germany Frankfurt demonstrates a powerful alignment between our solution portfolio and the region's most pressing educational needs. As Frankfurt continues to solidify its position as Germany's leading education innovation hub—particularly in secondary teacher development—we are uniquely positioned to deliver value that resonates with the local context.</w:t>
      </w:r>
    </w:p>
    <w:p>
      <w:pPr>
        <w:pStyle w:val="BodyText"/>
      </w:pPr>
      <w:r>
        <w:t xml:space="preserve">Crucially, this report underscores how understanding Germany's educational structure (with its distinct Sekundarstufe II pathways) and Frankfurt's urban dynamics is not merely beneficial—it is the cornerstone of our growth. The 18.7% revenue overperformance proves that when services are meticulously tailored to Teacher Secondary professionals' real-world challenges in cities like Frankfurt, market leadership follows.</w:t>
      </w:r>
    </w:p>
    <w:p>
      <w:pPr>
        <w:pStyle w:val="BodyText"/>
      </w:pPr>
      <w:r>
        <w:t xml:space="preserve">Looking ahead, we will deepen our commitment to Frankfurt through localized partnerships and compliance-focused innovation—ensuring every sale directly advances the professional journey of secondary educators across Germany's most dynamic educational ecosystem. The path forward is clear: continue delivering precisely what Teacher Secondary staff need, in the framework that matters most to them—Germany's education system.</w:t>
      </w:r>
    </w:p>
    <w:bookmarkEnd w:id="28"/>
    <w:p>
      <w:pPr>
        <w:pStyle w:val="BodyText"/>
      </w:pPr>
      <w:r>
        <w:t xml:space="preserve">Report Prepared By: Education Strategy Division | Certified for German Educational Standards Compliance</w:t>
      </w:r>
    </w:p>
    <w:p>
      <w:pPr>
        <w:pStyle w:val="BodyText"/>
      </w:pPr>
      <w:r>
        <w:t xml:space="preserve">This document complies with Hessian School Authority requirements (§ 21a Hessische Schulordnung) and GDPR standards for education data handling.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Teacher Secondary Services in Germany Frankfurt</dc:title>
  <dc:creator/>
  <dc:language>en</dc:language>
  <cp:keywords/>
  <dcterms:created xsi:type="dcterms:W3CDTF">2026-06-06T13:40:23Z</dcterms:created>
  <dcterms:modified xsi:type="dcterms:W3CDTF">2026-06-06T13:40:23Z</dcterms:modified>
</cp:coreProperties>
</file>

<file path=docProps/custom.xml><?xml version="1.0" encoding="utf-8"?>
<Properties xmlns="http://schemas.openxmlformats.org/officeDocument/2006/custom-properties" xmlns:vt="http://schemas.openxmlformats.org/officeDocument/2006/docPropsVTypes"/>
</file>