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Secondary</w:t>
      </w:r>
      <w:r>
        <w:t xml:space="preserve"> </w:t>
      </w:r>
      <w:r>
        <w:t xml:space="preserve">Sales</w:t>
      </w:r>
      <w:r>
        <w:t xml:space="preserve"> </w:t>
      </w:r>
      <w:r>
        <w:t xml:space="preserve">Report</w:t>
      </w:r>
      <w:r>
        <w:t xml:space="preserve"> </w:t>
      </w:r>
      <w:r>
        <w:t xml:space="preserve">-</w:t>
      </w:r>
      <w:r>
        <w:t xml:space="preserve"> </w:t>
      </w:r>
      <w:r>
        <w:t xml:space="preserve">Ghana</w:t>
      </w:r>
      <w:r>
        <w:t xml:space="preserve"> </w:t>
      </w:r>
      <w:r>
        <w:t xml:space="preserve">Accra</w:t>
      </w:r>
    </w:p>
    <w:bookmarkStart w:id="26" w:name="X3562dd7e52eee1af8a6a9fb892460c2af36dc41"/>
    <w:p>
      <w:pPr>
        <w:pStyle w:val="Heading1"/>
      </w:pPr>
      <w:r>
        <w:t xml:space="preserve">Comprehensive Sales Report: Teacher Secondary Education Sector in Ghana Accra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Educational Partnerships Division</w:t>
      </w:r>
      <w:r>
        <w:br/>
      </w:r>
      <w:r>
        <w:rPr>
          <w:bCs/>
          <w:b/>
        </w:rPr>
        <w:t xml:space="preserve">Report Period:</w:t>
      </w:r>
      <w:r>
        <w:t xml:space="preserve"> </w:t>
      </w:r>
      <w:r>
        <w:t xml:space="preserve">July 1 - September 30, 2023</w:t>
      </w:r>
      <w:r>
        <w:br/>
      </w:r>
      <w:r>
        <w:rPr>
          <w:bCs/>
          <w:b/>
        </w:rPr>
        <w:t xml:space="preserve">Sales Territory:</w:t>
      </w:r>
      <w:r>
        <w:t xml:space="preserve"> </w:t>
      </w:r>
      <w:r>
        <w:t xml:space="preserve">Greater Accra Region, Ghana</w:t>
      </w:r>
    </w:p>
    <w:bookmarkStart w:id="20" w:name="i.-executive-summary"/>
    <w:p>
      <w:pPr>
        <w:pStyle w:val="Heading2"/>
      </w:pPr>
      <w:r>
        <w:t xml:space="preserve">I. Executive Summary</w:t>
      </w:r>
    </w:p>
    <w:p>
      <w:pPr>
        <w:pStyle w:val="FirstParagraph"/>
      </w:pPr>
      <w:r>
        <w:t xml:space="preserve">This Sales Report details the performance of our educational solutions within the critical Teacher Secondary segment across Ghana Accra. Despite economic headwinds in the region, our strategic focus on secondary school educators has yielded a 14% year-over-year growth in classroom solution adoption. The report confirms that targeted engagement with Teacher Secondary professionals in Accra's urban and peri-urban schools remains our strongest growth engine, accounting for 68% of all educational sales within the Greater Accra Region. As Ghana continues its ambitious education sector reforms under the National Education Strategic Plan (2018-2030), our positioning as a trusted partner for Teacher Secondary resource needs has become increasingly vital to Accra's academic ecosystem.</w:t>
      </w:r>
    </w:p>
    <w:bookmarkEnd w:id="20"/>
    <w:bookmarkStart w:id="21" w:name="X8882c447c7823b7de2672b7e20d540343a22a3b"/>
    <w:p>
      <w:pPr>
        <w:pStyle w:val="Heading2"/>
      </w:pPr>
      <w:r>
        <w:t xml:space="preserve">II. Key Sales Performance Metrics: Ghana Accra</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Growth %</w:t>
      </w:r>
    </w:p>
    <w:p>
      <w:pPr>
        <w:pStyle w:val="BodyText"/>
      </w:pPr>
      <w:r>
        <w:t xml:space="preserve">Total Revenue (GHS)</w:t>
      </w:r>
    </w:p>
    <w:p>
      <w:pPr>
        <w:pStyle w:val="BodyText"/>
      </w:pPr>
      <w:r>
        <w:t xml:space="preserve">1,845,000</w:t>
      </w:r>
    </w:p>
    <w:p>
      <w:pPr>
        <w:pStyle w:val="BodyText"/>
      </w:pPr>
      <w:r>
        <w:t xml:space="preserve">1,618,500</w:t>
      </w:r>
    </w:p>
    <w:p>
      <w:pPr>
        <w:pStyle w:val="BodyText"/>
      </w:pPr>
      <w:r>
        <w:t xml:space="preserve">14.0%</w:t>
      </w:r>
    </w:p>
    <w:p>
      <w:pPr>
        <w:pStyle w:val="BodyText"/>
      </w:pPr>
      <w:r>
        <w:t xml:space="preserve">New Teacher Secondary Clients Acquired</w:t>
      </w:r>
    </w:p>
    <w:p>
      <w:pPr>
        <w:pStyle w:val="BodyText"/>
      </w:pPr>
      <w:r>
        <w:t xml:space="preserve">278</w:t>
      </w:r>
    </w:p>
    <w:p>
      <w:pPr>
        <w:pStyle w:val="BodyText"/>
      </w:pPr>
      <w:r>
        <w:t xml:space="preserve">231</w:t>
      </w:r>
    </w:p>
    <w:p>
      <w:pPr>
        <w:pStyle w:val="BodyText"/>
      </w:pPr>
      <w:r>
        <w:t xml:space="preserve">20.3%</w:t>
      </w:r>
    </w:p>
    <w:p>
      <w:pPr>
        <w:pStyle w:val="BodyText"/>
      </w:pPr>
      <w:r>
        <w:t xml:space="preserve">Solution Adoption Rate (per School)</w:t>
      </w:r>
    </w:p>
    <w:p>
      <w:pPr>
        <w:pStyle w:val="BodyText"/>
      </w:pPr>
      <w:r>
        <w:t xml:space="preserve">4.7 Solutions/School</w:t>
      </w:r>
    </w:p>
    <w:p>
      <w:pPr>
        <w:pStyle w:val="BodyText"/>
      </w:pPr>
      <w:r>
        <w:t xml:space="preserve">&lt;</w:t>
      </w:r>
    </w:p>
    <w:p>
      <w:pPr>
        <w:pStyle w:val="BodyText"/>
      </w:pPr>
      <w:r>
        <w:t xml:space="preserve">3.9 Solutions/School</w:t>
      </w:r>
    </w:p>
    <w:p>
      <w:pPr>
        <w:pStyle w:val="BodyText"/>
      </w:pPr>
      <w:r>
        <w:t xml:space="preserve">20.5%</w:t>
      </w:r>
    </w:p>
    <w:p>
      <w:pPr>
        <w:pStyle w:val="BodyText"/>
      </w:pPr>
      <w:r>
        <w:t xml:space="preserve">Customer Retention Rate (Teacher Secondary)</w:t>
      </w:r>
    </w:p>
    <w:p>
      <w:pPr>
        <w:pStyle w:val="BodyText"/>
      </w:pPr>
      <w:r>
        <w:t xml:space="preserve">89%</w:t>
      </w:r>
    </w:p>
    <w:p>
      <w:pPr>
        <w:pStyle w:val="BodyText"/>
      </w:pPr>
      <w:r>
        <w:t xml:space="preserve">84%</w:t>
      </w:r>
    </w:p>
    <w:p>
      <w:pPr>
        <w:pStyle w:val="BodyText"/>
      </w:pPr>
      <w:r>
        <w:t xml:space="preserve">Key Insight: Our Teacher Secondary client retention rate exceeded regional averages by 23%, demonstrating exceptional relationship management in Ghana Accra's competitive education market.</w:t>
      </w:r>
    </w:p>
    <w:bookmarkEnd w:id="21"/>
    <w:bookmarkStart w:id="22" w:name="X1ada5476a061342675f5f88d1ebb1574b56a23d"/>
    <w:p>
      <w:pPr>
        <w:pStyle w:val="Heading2"/>
      </w:pPr>
      <w:r>
        <w:t xml:space="preserve">III. Product-Specific Performance Analysis</w:t>
      </w:r>
    </w:p>
    <w:p>
      <w:pPr>
        <w:pStyle w:val="FirstParagraph"/>
      </w:pPr>
      <w:r>
        <w:t xml:space="preserve">The data reveals significant shifts in demand patterns among Teacher Secondary professionals across Ghana Accra:</w:t>
      </w:r>
    </w:p>
    <w:p>
      <w:pPr>
        <w:numPr>
          <w:ilvl w:val="0"/>
          <w:numId w:val="1001"/>
        </w:numPr>
        <w:pStyle w:val="Compact"/>
      </w:pPr>
      <w:r>
        <w:rPr>
          <w:bCs/>
          <w:b/>
        </w:rPr>
        <w:t xml:space="preserve">Digital Learning Kits:</w:t>
      </w:r>
      <w:r>
        <w:t xml:space="preserve"> </w:t>
      </w:r>
      <w:r>
        <w:t xml:space="preserve">34% revenue growth driven by demand for offline-capable tablets and curriculum-aligned apps. Teachers in low-connectivity Accra communities (e.g., Ashaiman, Ga East) prioritized these solutions to overcome internet limitations.</w:t>
      </w:r>
    </w:p>
    <w:p>
      <w:pPr>
        <w:numPr>
          <w:ilvl w:val="0"/>
          <w:numId w:val="1001"/>
        </w:numPr>
        <w:pStyle w:val="Compact"/>
      </w:pPr>
      <w:r>
        <w:rPr>
          <w:bCs/>
          <w:b/>
        </w:rPr>
        <w:t xml:space="preserve">Professional Development Workshops:</w:t>
      </w:r>
      <w:r>
        <w:t xml:space="preserve"> </w:t>
      </w:r>
      <w:r>
        <w:t xml:space="preserve">28% increase in enrollment as Teacher Secondary educators sought certification programs aligned with Ghana Education Service's new STEM focus. The "Accra Educator Excellence Series" achieved 97% satisfaction rating from participants.</w:t>
      </w:r>
    </w:p>
    <w:p>
      <w:pPr>
        <w:numPr>
          <w:ilvl w:val="0"/>
          <w:numId w:val="1001"/>
        </w:numPr>
        <w:pStyle w:val="Compact"/>
      </w:pPr>
      <w:r>
        <w:rPr>
          <w:bCs/>
          <w:b/>
        </w:rPr>
        <w:t xml:space="preserve">Classroom Resource Kits:</w:t>
      </w:r>
      <w:r>
        <w:t xml:space="preserve"> </w:t>
      </w:r>
      <w:r>
        <w:t xml:space="preserve">Highest demand for practical materials (science lab tools, art supplies). Schools in Accra's public secondary sector purchased 42% more kits than private counterparts, indicating government-driven resource allocation priorities.</w:t>
      </w:r>
    </w:p>
    <w:bookmarkEnd w:id="22"/>
    <w:bookmarkStart w:id="23" w:name="X31f75f3498bd2bfc426833da09750ca4dd8df0e"/>
    <w:p>
      <w:pPr>
        <w:pStyle w:val="Heading2"/>
      </w:pPr>
      <w:r>
        <w:t xml:space="preserve">IV. Market Dynamics: Teacher Secondary in Ghana Accra</w:t>
      </w:r>
    </w:p>
    <w:p>
      <w:pPr>
        <w:pStyle w:val="FirstParagraph"/>
      </w:pPr>
      <w:r>
        <w:t xml:space="preserve">Ghana Accra's secondary education landscape presents unique opportunities and challenges for our sales strategy:</w:t>
      </w:r>
    </w:p>
    <w:p>
      <w:pPr>
        <w:pStyle w:val="BodyText"/>
      </w:pPr>
      <w:r>
        <w:rPr>
          <w:bCs/>
          <w:b/>
        </w:rPr>
        <w:t xml:space="preserve">Opportunities:</w:t>
      </w:r>
      <w:r>
        <w:t xml:space="preserve"> </w:t>
      </w:r>
      <w:r>
        <w:t xml:space="preserve">The Ministry of Education's current "Digital Literacy for All" initiative has increased budget allocation to Teacher Secondary resource procurement. Accra, as Ghana's educational hub, hosts 63% of the country's secondary teacher training institutions (e.g., University of Cape Coast, Accra College). Our partnership with the Ghana Tertiary Education Commission (GTEC) has accelerated school adoption in high-impact zones like Korle Bu and Cantonments.</w:t>
      </w:r>
    </w:p>
    <w:p>
      <w:pPr>
        <w:pStyle w:val="BodyText"/>
      </w:pPr>
      <w:r>
        <w:rPr>
          <w:bCs/>
          <w:b/>
        </w:rPr>
        <w:t xml:space="preserve">Challenges:</w:t>
      </w:r>
      <w:r>
        <w:t xml:space="preserve"> </w:t>
      </w:r>
      <w:r>
        <w:t xml:space="preserve">Budget constraints remain acute—42% of Teacher Secondary schools reported delayed payments due to national education financing delays. Infrastructure gaps persist in peri-urban Accra (e.g., 37% of schools lack reliable electricity), requiring us to adapt solutions for low-power environments. Cultural preferences for printed materials still influence 58% of Teacher Secondary purchasing decisions despite digital migration trends.</w:t>
      </w:r>
    </w:p>
    <w:bookmarkEnd w:id="23"/>
    <w:bookmarkStart w:id="24" w:name="X59457c245570c5f8e83ead0d4a57f58c71f946e"/>
    <w:p>
      <w:pPr>
        <w:pStyle w:val="Heading2"/>
      </w:pPr>
      <w:r>
        <w:t xml:space="preserve">V. Strategic Recommendations for Ghana Accra</w:t>
      </w:r>
    </w:p>
    <w:p>
      <w:pPr>
        <w:pStyle w:val="FirstParagraph"/>
      </w:pPr>
      <w:r>
        <w:t xml:space="preserve">To capitalize on our Teacher Secondary momentum in Ghana Accra, we propose the following actions:</w:t>
      </w:r>
    </w:p>
    <w:p>
      <w:pPr>
        <w:numPr>
          <w:ilvl w:val="0"/>
          <w:numId w:val="1002"/>
        </w:numPr>
        <w:pStyle w:val="Compact"/>
      </w:pPr>
      <w:r>
        <w:rPr>
          <w:bCs/>
          <w:b/>
        </w:rPr>
        <w:t xml:space="preserve">Localized Payment Schemes:</w:t>
      </w:r>
      <w:r>
        <w:t xml:space="preserve"> </w:t>
      </w:r>
      <w:r>
        <w:t xml:space="preserve">Partner with Accra-based financial institutions (e.g., GCB Bank) to introduce school-term payment plans addressing budget cycles. This could unlock 28% of potential clients currently delayed by cash flow issues.</w:t>
      </w:r>
    </w:p>
    <w:p>
      <w:pPr>
        <w:numPr>
          <w:ilvl w:val="0"/>
          <w:numId w:val="1002"/>
        </w:numPr>
        <w:pStyle w:val="Compact"/>
      </w:pPr>
      <w:r>
        <w:rPr>
          <w:bCs/>
          <w:b/>
        </w:rPr>
        <w:t xml:space="preserve">Power-Adaptive Solutions:</w:t>
      </w:r>
      <w:r>
        <w:t xml:space="preserve"> </w:t>
      </w:r>
      <w:r>
        <w:t xml:space="preserve">Develop solar-charged resource kits for schools in Accra's off-grid communities (e.g., Nima, Osu). Piloting this in 15 Teacher Secondary schools yielded a 73% trial-to-purchase conversion rate.</w:t>
      </w:r>
    </w:p>
    <w:p>
      <w:pPr>
        <w:numPr>
          <w:ilvl w:val="0"/>
          <w:numId w:val="1002"/>
        </w:numPr>
        <w:pStyle w:val="Compact"/>
      </w:pPr>
      <w:r>
        <w:rPr>
          <w:bCs/>
          <w:b/>
        </w:rPr>
        <w:t xml:space="preserve">Certification Integration:</w:t>
      </w:r>
      <w:r>
        <w:t xml:space="preserve"> </w:t>
      </w:r>
      <w:r>
        <w:t xml:space="preserve">Collaborate with the Ghana Education Service to embed our professional development programs into state-mandated teacher certification. This would position us as the preferred vendor for mandatory training requirements across Accra.</w:t>
      </w:r>
    </w:p>
    <w:p>
      <w:pPr>
        <w:numPr>
          <w:ilvl w:val="0"/>
          <w:numId w:val="1002"/>
        </w:numPr>
        <w:pStyle w:val="Compact"/>
      </w:pPr>
      <w:r>
        <w:rPr>
          <w:bCs/>
          <w:b/>
        </w:rPr>
        <w:t xml:space="preserve">Community Ambassador Program:</w:t>
      </w:r>
      <w:r>
        <w:t xml:space="preserve"> </w:t>
      </w:r>
      <w:r>
        <w:t xml:space="preserve">Recruit respected Teacher Secondary influencers from Accra's educational networks (e.g., Headteachers at Ako Adjei Senior High) to drive organic adoption through peer recommendations.</w:t>
      </w:r>
    </w:p>
    <w:bookmarkEnd w:id="24"/>
    <w:bookmarkStart w:id="25" w:name="Xd9175349d9fa50851d87677e4d6019eda34cc73"/>
    <w:p>
      <w:pPr>
        <w:pStyle w:val="Heading2"/>
      </w:pPr>
      <w:r>
        <w:t xml:space="preserve">VI. Conclusion: The Path Forward in Ghana Accra</w:t>
      </w:r>
    </w:p>
    <w:p>
      <w:pPr>
        <w:pStyle w:val="FirstParagraph"/>
      </w:pPr>
      <w:r>
        <w:t xml:space="preserve">This Sales Report affirms that our strategic alignment with Teacher Secondary needs within Ghana Accra is yielding substantial results. The 14% revenue growth and 20% new client acquisition in the secondary education segment demonstrate how deeply our solutions resonate with educators navigating Ghana's evolving academic landscape. As we enter Q4, our focus will intensify on converting Accra's emerging educational policy initiatives—particularly the revised STEM curriculum rollout—into sustainable sales opportunities for Teacher Secondary classrooms.</w:t>
      </w:r>
    </w:p>
    <w:p>
      <w:pPr>
        <w:pStyle w:val="BodyText"/>
      </w:pPr>
      <w:r>
        <w:t xml:space="preserve">Crucially, our success in Ghana Accra hinges on understanding that every purchase decision reflects a teacher's commitment to student outcomes. By embedding ourselves as partners in their professional journey—not merely vendors—we are not just selling products but enabling educational transformation across the nation's capital. The data confirms: when we address Teacher Secondary challenges with context-aware solutions, Ghana Accra becomes our most productive market for scalable educational impact.</w:t>
      </w:r>
    </w:p>
    <w:p>
      <w:pPr>
        <w:pStyle w:val="BodyText"/>
      </w:pPr>
      <w:r>
        <w:rPr>
          <w:bCs/>
          <w:b/>
        </w:rPr>
        <w:t xml:space="preserve">Next Steps:</w:t>
      </w:r>
      <w:r>
        <w:t xml:space="preserve"> </w:t>
      </w:r>
      <w:r>
        <w:t xml:space="preserve">Present detailed implementation roadmap to Accra-based sales leadership by November 15, 2023. Target: Achieve 95% Teacher Secondary client retention in Ghana Accra by Q1 2024 and secure MOU with GES for the national STEM resource rollout.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Secondary Sales Report - Ghana Accra</dc:title>
  <dc:creator/>
  <dc:language>en</dc:language>
  <cp:keywords/>
  <dcterms:created xsi:type="dcterms:W3CDTF">2026-07-23T16:43:37Z</dcterms:created>
  <dcterms:modified xsi:type="dcterms:W3CDTF">2026-07-23T16:43:37Z</dcterms:modified>
</cp:coreProperties>
</file>

<file path=docProps/custom.xml><?xml version="1.0" encoding="utf-8"?>
<Properties xmlns="http://schemas.openxmlformats.org/officeDocument/2006/custom-properties" xmlns:vt="http://schemas.openxmlformats.org/officeDocument/2006/docPropsVTypes"/>
</file>