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Teacher</w:t>
      </w:r>
      <w:r>
        <w:t xml:space="preserve"> </w:t>
      </w:r>
      <w:r>
        <w:t xml:space="preserve">Secondary</w:t>
      </w:r>
      <w:r>
        <w:t xml:space="preserve"> </w:t>
      </w:r>
      <w:r>
        <w:t xml:space="preserve">Education</w:t>
      </w:r>
      <w:r>
        <w:t xml:space="preserve"> </w:t>
      </w:r>
      <w:r>
        <w:t xml:space="preserve">Market</w:t>
      </w:r>
      <w:r>
        <w:t xml:space="preserve"> </w:t>
      </w:r>
      <w:r>
        <w:t xml:space="preserve">in</w:t>
      </w:r>
      <w:r>
        <w:t xml:space="preserve"> </w:t>
      </w:r>
      <w:r>
        <w:t xml:space="preserve">India</w:t>
      </w:r>
      <w:r>
        <w:t xml:space="preserve"> </w:t>
      </w:r>
      <w:r>
        <w:t xml:space="preserve">Mumbai</w:t>
      </w:r>
    </w:p>
    <w:bookmarkStart w:id="30" w:name="X79c23512928d0c5dc85e9518ee08a921c85ba2c"/>
    <w:p>
      <w:pPr>
        <w:pStyle w:val="Heading1"/>
      </w:pPr>
      <w:r>
        <w:t xml:space="preserve">SALES REPORT FOR TEACHER SECONDARY EDUCATION MARKET IN INDIA MUMBAI</w:t>
      </w:r>
    </w:p>
    <w:p>
      <w:pPr>
        <w:pStyle w:val="FirstParagraph"/>
      </w:pPr>
      <w:r>
        <w:t xml:space="preserve">Q3 2023 Performance Analysis &amp; Strategic Outlook</w:t>
      </w:r>
    </w:p>
    <w:bookmarkStart w:id="20" w:name="executive-summary"/>
    <w:p>
      <w:pPr>
        <w:pStyle w:val="Heading2"/>
      </w:pPr>
      <w:r>
        <w:t xml:space="preserve">Executive Summary</w:t>
      </w:r>
    </w:p>
    <w:p>
      <w:pPr>
        <w:pStyle w:val="FirstParagraph"/>
      </w:pPr>
      <w:r>
        <w:t xml:space="preserve">This comprehensive Sales Report details the performance of educational service offerings targeted at Teacher Secondary professionals across Mumbai, India. The report analyzes market dynamics, sales achievements, and strategic opportunities specific to the secondary education sector in our most critical urban market. With Mumbai representing over 35% of Maharashtra's secondary teaching workforce (approx. 120,000 teachers), our focused strategy for Teacher Secondary solutions has driven significant growth in Q3 2023.</w:t>
      </w:r>
    </w:p>
    <w:bookmarkEnd w:id="20"/>
    <w:bookmarkStart w:id="21" w:name="X74ff91613da003f66372c9074ce1862aebb31c5"/>
    <w:p>
      <w:pPr>
        <w:pStyle w:val="Heading2"/>
      </w:pPr>
      <w:r>
        <w:t xml:space="preserve">Market Context: Teacher Secondary Education in Mumbai</w:t>
      </w:r>
    </w:p>
    <w:p>
      <w:pPr>
        <w:pStyle w:val="FirstParagraph"/>
      </w:pPr>
      <w:r>
        <w:t xml:space="preserve">Mumbai's education landscape presents unique challenges and opportunities for secondary teacher support services. As the financial capital of India, Mumbai's secondary schools (classes 6-10 under CBSE/ICSE/Maharashtra State Board) face intense pressure to deliver quality education amid rising student numbers. The Teacher Secondary sector in Mumbai currently requires specialized resources due to:</w:t>
      </w:r>
    </w:p>
    <w:p>
      <w:pPr>
        <w:numPr>
          <w:ilvl w:val="0"/>
          <w:numId w:val="1001"/>
        </w:numPr>
        <w:pStyle w:val="Compact"/>
      </w:pPr>
      <w:r>
        <w:t xml:space="preserve">High competition for quality secondary teaching positions</w:t>
      </w:r>
    </w:p>
    <w:p>
      <w:pPr>
        <w:numPr>
          <w:ilvl w:val="0"/>
          <w:numId w:val="1001"/>
        </w:numPr>
        <w:pStyle w:val="Compact"/>
      </w:pPr>
      <w:r>
        <w:t xml:space="preserve">Government mandates for digital integration (e.g., NEP 2020 implementation)</w:t>
      </w:r>
    </w:p>
    <w:p>
      <w:pPr>
        <w:numPr>
          <w:ilvl w:val="0"/>
          <w:numId w:val="1001"/>
        </w:numPr>
        <w:pStyle w:val="Compact"/>
      </w:pPr>
      <w:r>
        <w:t xml:space="preserve">Teacher retention challenges in municipal vs. private institutions</w:t>
      </w:r>
    </w:p>
    <w:p>
      <w:pPr>
        <w:numPr>
          <w:ilvl w:val="0"/>
          <w:numId w:val="1001"/>
        </w:numPr>
        <w:pStyle w:val="Compact"/>
      </w:pPr>
      <w:r>
        <w:t xml:space="preserve">Rising demand for professional development in STEM and soft skills</w:t>
      </w:r>
    </w:p>
    <w:p>
      <w:pPr>
        <w:pStyle w:val="FirstParagraph"/>
      </w:pPr>
      <w:r>
        <w:t xml:space="preserve">This context makes Mumbai an ideal market for our Teacher Secondary-focused solutions, where personalized educator support drives student outcomes.</w:t>
      </w:r>
    </w:p>
    <w:bookmarkEnd w:id="21"/>
    <w:bookmarkStart w:id="22" w:name="q3-2023-sales-performance-highlights"/>
    <w:p>
      <w:pPr>
        <w:pStyle w:val="Heading2"/>
      </w:pPr>
      <w:r>
        <w:t xml:space="preserve">Q3 2023 Sales Performance Highlights</w:t>
      </w:r>
    </w:p>
    <w:tbl>
      <w:tblPr>
        <w:tblStyle w:val="Table"/>
        <w:tblW w:type="auto" w:w="0"/>
        <w:tblLook w:firstRow="1" w:lastRow="0" w:firstColumn="0" w:lastColumn="0" w:noHBand="0" w:noVBand="0" w:val="0020"/>
      </w:tblPr>
      <w:tblGrid>
        <w:gridCol w:w="1584"/>
        <w:gridCol w:w="1584"/>
        <w:gridCol w:w="1584"/>
        <w:gridCol w:w="1584"/>
        <w:gridCol w:w="1584"/>
      </w:tblGrid>
      <w:tr>
        <w:trPr>
          <w:tblHeader w:val="true"/>
        </w:trPr>
        <w:tc>
          <w:tcPr/>
          <w:p>
            <w:pPr>
              <w:pStyle w:val="Compact"/>
              <w:jc w:val="left"/>
            </w:pPr>
            <w:r>
              <w:t xml:space="preserve">Product/Service</w:t>
            </w:r>
          </w:p>
        </w:tc>
        <w:tc>
          <w:tcPr/>
          <w:p>
            <w:pPr>
              <w:pStyle w:val="Compact"/>
              <w:jc w:val="left"/>
            </w:pPr>
            <w:r>
              <w:t xml:space="preserve">Target Audience</w:t>
            </w:r>
          </w:p>
        </w:tc>
        <w:tc>
          <w:tcPr/>
          <w:p>
            <w:pPr>
              <w:pStyle w:val="Compact"/>
              <w:jc w:val="left"/>
            </w:pPr>
            <w:r>
              <w:t xml:space="preserve">Sales Volume (Q3)</w:t>
            </w:r>
          </w:p>
        </w:tc>
        <w:tc>
          <w:tcPr/>
          <w:p>
            <w:pPr>
              <w:pStyle w:val="Compact"/>
              <w:jc w:val="left"/>
            </w:pPr>
            <w:r>
              <w:t xml:space="preserve">% Growth vs Q2</w:t>
            </w:r>
          </w:p>
        </w:tc>
        <w:tc>
          <w:tcPr/>
          <w:p>
            <w:pPr>
              <w:pStyle w:val="Compact"/>
              <w:jc w:val="left"/>
            </w:pPr>
            <w:r>
              <w:t xml:space="preserve">Revenue Contribution</w:t>
            </w:r>
          </w:p>
        </w:tc>
      </w:tr>
      <w:tr>
        <w:tc>
          <w:tcPr/>
          <w:p>
            <w:pPr>
              <w:pStyle w:val="Compact"/>
              <w:jc w:val="left"/>
            </w:pPr>
            <w:r>
              <w:t xml:space="preserve">Digital Lesson Planning Toolkit</w:t>
            </w:r>
          </w:p>
        </w:tc>
        <w:tc>
          <w:tcPr/>
          <w:p>
            <w:pPr>
              <w:pStyle w:val="Compact"/>
              <w:jc w:val="left"/>
            </w:pPr>
            <w:r>
              <w:t xml:space="preserve">Secondary School Teachers (Mumbai)</w:t>
            </w:r>
          </w:p>
        </w:tc>
        <w:tc>
          <w:tcPr/>
          <w:p>
            <w:pPr>
              <w:pStyle w:val="Compact"/>
              <w:jc w:val="left"/>
            </w:pPr>
            <w:r>
              <w:t xml:space="preserve">1,850 units</w:t>
            </w:r>
          </w:p>
        </w:tc>
        <w:tc>
          <w:tcPr/>
          <w:p>
            <w:pPr>
              <w:pStyle w:val="Compact"/>
              <w:jc w:val="left"/>
            </w:pPr>
            <w:r>
              <w:t xml:space="preserve">+27.4%</w:t>
            </w:r>
          </w:p>
        </w:tc>
        <w:tc>
          <w:tcPr/>
          <w:p>
            <w:pPr>
              <w:pStyle w:val="Compact"/>
              <w:jc w:val="left"/>
            </w:pPr>
            <w:r>
              <w:t xml:space="preserve">38.2%</w:t>
            </w:r>
          </w:p>
        </w:tc>
      </w:tr>
      <w:tr>
        <w:tc>
          <w:tcPr/>
          <w:p>
            <w:pPr>
              <w:pStyle w:val="Compact"/>
              <w:jc w:val="left"/>
            </w:pPr>
            <w:r>
              <w:t xml:space="preserve">Professional Development Workshops</w:t>
            </w:r>
          </w:p>
        </w:tc>
        <w:tc>
          <w:tcPr/>
          <w:p>
            <w:pPr>
              <w:pStyle w:val="Compact"/>
              <w:jc w:val="left"/>
            </w:pPr>
            <w:r>
              <w:t xml:space="preserve">Teacher Secondary Coordinators</w:t>
            </w:r>
          </w:p>
        </w:tc>
        <w:tc>
          <w:tcPr/>
          <w:p>
            <w:pPr>
              <w:pStyle w:val="Compact"/>
              <w:jc w:val="left"/>
            </w:pPr>
            <w:r>
              <w:t xml:space="preserve">142 sessions</w:t>
            </w:r>
          </w:p>
        </w:tc>
        <w:tc>
          <w:tcPr/>
          <w:p>
            <w:pPr>
              <w:pStyle w:val="Compact"/>
              <w:jc w:val="left"/>
            </w:pPr>
            <w:r>
              <w:t xml:space="preserve">+35.8%</w:t>
            </w:r>
          </w:p>
        </w:tc>
        <w:tc>
          <w:tcPr/>
          <w:p>
            <w:pPr>
              <w:pStyle w:val="Compact"/>
              <w:jc w:val="left"/>
            </w:pPr>
            <w:r>
              <w:t xml:space="preserve">29.7%</w:t>
            </w:r>
          </w:p>
        </w:tc>
      </w:tr>
      <w:tr>
        <w:tc>
          <w:tcPr/>
          <w:p>
            <w:pPr>
              <w:pStyle w:val="Compact"/>
              <w:jc w:val="left"/>
            </w:pPr>
            <w:r>
              <w:t xml:space="preserve">LMS Customization for Secondary Curriculum</w:t>
            </w:r>
          </w:p>
        </w:tc>
        <w:tc>
          <w:tcPr/>
          <w:p>
            <w:pPr>
              <w:pStyle w:val="Compact"/>
              <w:jc w:val="left"/>
            </w:pPr>
            <w:r>
              <w:t xml:space="preserve">Mumbai Municipal Schools</w:t>
            </w:r>
          </w:p>
        </w:tc>
        <w:tc>
          <w:tcPr/>
          <w:p>
            <w:pPr>
              <w:pStyle w:val="Compact"/>
              <w:jc w:val="left"/>
            </w:pPr>
            <w:r>
              <w:t xml:space="preserve">48 institutions</w:t>
            </w:r>
          </w:p>
        </w:tc>
        <w:tc>
          <w:tcPr/>
          <w:p>
            <w:pPr>
              <w:pStyle w:val="Compact"/>
              <w:jc w:val="left"/>
            </w:pPr>
            <w:r>
              <w:t xml:space="preserve">+18.3%</w:t>
            </w:r>
          </w:p>
        </w:tc>
        <w:tc>
          <w:tcPr/>
          <w:p>
            <w:pPr>
              <w:pStyle w:val="Compact"/>
              <w:jc w:val="left"/>
            </w:pPr>
            <w:r>
              <w:t xml:space="preserve">25.1%</w:t>
            </w:r>
          </w:p>
        </w:tc>
      </w:tr>
      <w:tr>
        <w:tc>
          <w:tcPr/>
          <w:p>
            <w:pPr>
              <w:pStyle w:val="Compact"/>
              <w:jc w:val="left"/>
            </w:pPr>
            <w:r>
              <w:t xml:space="preserve">Total Sales</w:t>
            </w:r>
          </w:p>
        </w:tc>
        <w:tc>
          <w:tcPr/>
          <w:p>
            <w:pPr>
              <w:pStyle w:val="Compact"/>
              <w:jc w:val="right"/>
            </w:pPr>
            <w:r>
              <w:t xml:space="preserve">₹28.7 Cr</w:t>
            </w:r>
          </w:p>
        </w:tc>
        <w:tc>
          <w:tcPr/>
          <w:p>
            <w:pPr>
              <w:pStyle w:val="Compact"/>
              <w:jc w:val="left"/>
            </w:pPr>
            <w:r>
              <w:rPr>
                <w:bCs/>
                <w:b/>
              </w:rPr>
              <w:t xml:space="preserve">93.0%</w:t>
            </w:r>
          </w:p>
        </w:tc>
        <w:tc>
          <w:tcPr/>
          <w:p>
            <w:pPr>
              <w:pStyle w:val="Compact"/>
            </w:pPr>
          </w:p>
        </w:tc>
        <w:tc>
          <w:tcPr/>
          <w:p>
            <w:pPr>
              <w:pStyle w:val="Compact"/>
            </w:pPr>
          </w:p>
        </w:tc>
      </w:tr>
    </w:tbl>
    <w:bookmarkEnd w:id="22"/>
    <w:bookmarkStart w:id="26" w:name="Xc8c5fb020421ecf8773005bcd7bf7cee3119e87"/>
    <w:p>
      <w:pPr>
        <w:pStyle w:val="Heading2"/>
      </w:pPr>
      <w:r>
        <w:t xml:space="preserve">Key Success Factors in India Mumbai Market</w:t>
      </w:r>
    </w:p>
    <w:p>
      <w:pPr>
        <w:pStyle w:val="FirstParagraph"/>
      </w:pPr>
      <w:r>
        <w:t xml:space="preserve">Our Q3 growth in the Teacher Secondary segment stems from three strategic pillars uniquely aligned with Mumbai's education ecosystem:</w:t>
      </w:r>
    </w:p>
    <w:bookmarkStart w:id="23" w:name="hyper-local-curriculum-adaptation"/>
    <w:p>
      <w:pPr>
        <w:pStyle w:val="Heading3"/>
      </w:pPr>
      <w:r>
        <w:t xml:space="preserve">1. Hyper-Local Curriculum Adaptation</w:t>
      </w:r>
    </w:p>
    <w:p>
      <w:pPr>
        <w:pStyle w:val="FirstParagraph"/>
      </w:pPr>
      <w:r>
        <w:t xml:space="preserve">We developed Maharashtra State Board-aligned digital resources for Teacher Secondary use, addressing a critical gap in Mumbai's market. Unlike national competitors, our content integrates local examples (e.g., "Math Problems Using Mumbai Transport Data") and Marathi language support features – directly responding to Mumbai teachers' needs. This localized approach drove 42% of all Teacher Secondary Toolkit sales in Q3.</w:t>
      </w:r>
    </w:p>
    <w:bookmarkEnd w:id="23"/>
    <w:bookmarkStart w:id="24" w:name="municipal-school-partnership-program"/>
    <w:p>
      <w:pPr>
        <w:pStyle w:val="Heading3"/>
      </w:pPr>
      <w:r>
        <w:t xml:space="preserve">2. Municipal School Partnership Program</w:t>
      </w:r>
    </w:p>
    <w:p>
      <w:pPr>
        <w:pStyle w:val="FirstParagraph"/>
      </w:pPr>
      <w:r>
        <w:t xml:space="preserve">Our strategic collaboration with Mumbai Municipal Corporation Schools (78% of city's secondary institutions) secured a 15% revenue increase through customized LMS integration. We deployed 48 new municipal school systems, including teacher training on digital pedagogy – a key requirement under Maharashtra's "Digital Classrooms for All" initiative. This partnership positions us as the preferred service provider for public Teacher Secondary infrastructure in India Mumbai.</w:t>
      </w:r>
    </w:p>
    <w:bookmarkEnd w:id="24"/>
    <w:bookmarkStart w:id="25" w:name="targeted-professional-development"/>
    <w:p>
      <w:pPr>
        <w:pStyle w:val="Heading3"/>
      </w:pPr>
      <w:r>
        <w:t xml:space="preserve">3. Targeted Professional Development</w:t>
      </w:r>
    </w:p>
    <w:p>
      <w:pPr>
        <w:pStyle w:val="FirstParagraph"/>
      </w:pPr>
      <w:r>
        <w:t xml:space="preserve">We shifted from generic workshops to Mumbai-specific secondary teacher skill gaps: 68% of sessions focused on "Teaching Digital Literacy to Low-Resource Classrooms" – addressing a top concern identified in our Mumbai teacher surveys. This specialized offering achieved 92% attendee satisfaction, driving referral-based sales within Teacher Secondary communities.</w:t>
      </w:r>
    </w:p>
    <w:bookmarkEnd w:id="25"/>
    <w:bookmarkEnd w:id="26"/>
    <w:bookmarkStart w:id="27" w:name="market-challenges-strategic-response"/>
    <w:p>
      <w:pPr>
        <w:pStyle w:val="Heading2"/>
      </w:pPr>
      <w:r>
        <w:t xml:space="preserve">Market Challenges &amp; Strategic Response</w:t>
      </w:r>
    </w:p>
    <w:p>
      <w:pPr>
        <w:pStyle w:val="FirstParagraph"/>
      </w:pPr>
      <w:r>
        <w:t xml:space="preserve">Mumbai's Teacher Secondary sector faces systemic challenges that impacted our Q3 operations:</w:t>
      </w:r>
    </w:p>
    <w:p>
      <w:pPr>
        <w:numPr>
          <w:ilvl w:val="0"/>
          <w:numId w:val="1002"/>
        </w:numPr>
        <w:pStyle w:val="Compact"/>
      </w:pPr>
      <w:r>
        <w:rPr>
          <w:bCs/>
          <w:b/>
        </w:rPr>
        <w:t xml:space="preserve">Teacher Workload Pressure:</w:t>
      </w:r>
      <w:r>
        <w:t xml:space="preserve"> </w:t>
      </w:r>
      <w:r>
        <w:t xml:space="preserve">Mumbai secondary teachers average 14.7 hours/week on non-teaching tasks. Our solution: Automated lesson planning tools reduced preparation time by 28% (verified via teacher feedback surveys).</w:t>
      </w:r>
    </w:p>
    <w:p>
      <w:pPr>
        <w:numPr>
          <w:ilvl w:val="0"/>
          <w:numId w:val="1002"/>
        </w:numPr>
        <w:pStyle w:val="Compact"/>
      </w:pPr>
      <w:r>
        <w:rPr>
          <w:bCs/>
          <w:b/>
        </w:rPr>
        <w:t xml:space="preserve">Infrastructure Gaps:</w:t>
      </w:r>
      <w:r>
        <w:t xml:space="preserve"> </w:t>
      </w:r>
      <w:r>
        <w:t xml:space="preserve">Only 63% of Mumbai public secondary schools have reliable internet. Our response: Offline-first digital resources with SMS-based content delivery for low-connectivity areas.</w:t>
      </w:r>
    </w:p>
    <w:p>
      <w:pPr>
        <w:numPr>
          <w:ilvl w:val="0"/>
          <w:numId w:val="1002"/>
        </w:numPr>
        <w:pStyle w:val="Compact"/>
      </w:pPr>
      <w:r>
        <w:rPr>
          <w:bCs/>
          <w:b/>
        </w:rPr>
        <w:t xml:space="preserve">Compliance Demands:</w:t>
      </w:r>
      <w:r>
        <w:t xml:space="preserve"> </w:t>
      </w:r>
      <w:r>
        <w:t xml:space="preserve">Maharashtra's new teacher certification requirements. We integrated compliance tracking into our LMS, making it mandatory for 72% of municipal school deployments.</w:t>
      </w:r>
    </w:p>
    <w:bookmarkEnd w:id="27"/>
    <w:bookmarkStart w:id="28" w:name="X011dfcaec3e1b5597728bb708cf5ab76edb9dfc"/>
    <w:p>
      <w:pPr>
        <w:pStyle w:val="Heading2"/>
      </w:pPr>
      <w:r>
        <w:t xml:space="preserve">Future Strategy: Scaling Teacher Secondary Solutions in Mumbai</w:t>
      </w:r>
    </w:p>
    <w:p>
      <w:pPr>
        <w:pStyle w:val="FirstParagraph"/>
      </w:pPr>
      <w:r>
        <w:t xml:space="preserve">Based on Q3 success, we are implementing these Mumbai-specific initiatives for Q4:</w:t>
      </w:r>
    </w:p>
    <w:p>
      <w:pPr>
        <w:numPr>
          <w:ilvl w:val="0"/>
          <w:numId w:val="1003"/>
        </w:numPr>
        <w:pStyle w:val="Compact"/>
      </w:pPr>
      <w:r>
        <w:rPr>
          <w:bCs/>
          <w:b/>
        </w:rPr>
        <w:t xml:space="preserve">Mumbai Teacher Ambassador Program:</w:t>
      </w:r>
      <w:r>
        <w:t xml:space="preserve"> </w:t>
      </w:r>
      <w:r>
        <w:t xml:space="preserve">Recruit 50 certified secondary teachers from high-performing schools to co-develop materials and drive peer adoption (targeting 20% market penetration in municipal schools by Q1 2024).</w:t>
      </w:r>
    </w:p>
    <w:p>
      <w:pPr>
        <w:numPr>
          <w:ilvl w:val="0"/>
          <w:numId w:val="1003"/>
        </w:numPr>
        <w:pStyle w:val="Compact"/>
      </w:pPr>
      <w:r>
        <w:rPr>
          <w:bCs/>
          <w:b/>
        </w:rPr>
        <w:t xml:space="preserve">AI-Powered Content Generator:</w:t>
      </w:r>
      <w:r>
        <w:t xml:space="preserve"> </w:t>
      </w:r>
      <w:r>
        <w:t xml:space="preserve">Launch Mumbai-specific AI tool that creates customized worksheets using local curriculum standards (e.g., "Map-based Geography Activities for Thane District Schools").</w:t>
      </w:r>
    </w:p>
    <w:p>
      <w:pPr>
        <w:numPr>
          <w:ilvl w:val="0"/>
          <w:numId w:val="1003"/>
        </w:numPr>
        <w:pStyle w:val="Compact"/>
      </w:pPr>
      <w:r>
        <w:rPr>
          <w:bCs/>
          <w:b/>
        </w:rPr>
        <w:t xml:space="preserve">Partnership with Education NGOs:</w:t>
      </w:r>
      <w:r>
        <w:t xml:space="preserve"> </w:t>
      </w:r>
      <w:r>
        <w:t xml:space="preserve">Collaborate with Mumbai-based organizations (e.g., Pratham, Teach For India) to reach 500+ Teacher Secondary professionals in underserved neighborhoods.</w:t>
      </w:r>
    </w:p>
    <w:bookmarkEnd w:id="28"/>
    <w:bookmarkStart w:id="29" w:name="X3b117fc083e39162152de685755ba2c3ddd8de8"/>
    <w:p>
      <w:pPr>
        <w:pStyle w:val="Heading2"/>
      </w:pPr>
      <w:r>
        <w:t xml:space="preserve">Conclusion: Why Mumbai is the Growth Engine for Teacher Secondary Solutions</w:t>
      </w:r>
    </w:p>
    <w:p>
      <w:pPr>
        <w:pStyle w:val="FirstParagraph"/>
      </w:pPr>
      <w:r>
        <w:t xml:space="preserve">Mumbai's secondary education market isn't just a regional segment – it's the proving ground for our national strategy. The city's scale (15% of India's total secondary teachers), regulatory innovation, and digital adoption pace make it critical to our overall Teacher Secondary business model. Q3 results demonstrate that Mumbai-focused solutions generate 4x higher retention rates compared to generic offerings, validating our market-specific approach.</w:t>
      </w:r>
    </w:p>
    <w:p>
      <w:pPr>
        <w:pStyle w:val="BodyText"/>
      </w:pPr>
      <w:r>
        <w:t xml:space="preserve">As the Education Ministry pushes for "Digital India in Every Classroom," our Mumbai operations position us as the essential partner for Teacher Secondary transformation across India. The success metrics from this market – particularly in municipal schools where 78% of Mumbai secondary teachers are employed – directly inform our national expansion strategy. We project 35% YoY growth in Teacher Secondary sales by FY2024, with Mumbai contributing 52% of our total revenue from this segment.</w:t>
      </w:r>
    </w:p>
    <w:p>
      <w:pPr>
        <w:pStyle w:val="BodyText"/>
      </w:pPr>
      <w:r>
        <w:t xml:space="preserve">Prepared for India Mumbai Education Solutions Division | October 15, 2023</w:t>
      </w:r>
    </w:p>
    <w:p>
      <w:pPr>
        <w:pStyle w:val="BodyText"/>
      </w:pPr>
      <w:r>
        <w:t xml:space="preserve">SUSTAINABLE GROWTH FOR TEACHER SECONDARY IN INDIA'S LEAD CITY</w:t>
      </w:r>
    </w:p>
    <w:p>
      <w:pPr>
        <w:pStyle w:val="BodyText"/>
      </w:pPr>
      <w:r>
        <w:rPr>
          <w:bCs/>
          <w:b/>
        </w:rPr>
        <w:t xml:space="preserve">Disclaimer:</w:t>
      </w:r>
      <w:r>
        <w:t xml:space="preserve"> </w:t>
      </w:r>
      <w:r>
        <w:t xml:space="preserve">All figures represent Mumbai-specific market data (including municipal, private, and state board schools). "Teacher Secondary" refers to educators teaching classes 6-10 in the Indian education system.</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Teacher Secondary Education Market in India Mumbai</dc:title>
  <dc:creator/>
  <cp:keywords/>
  <dcterms:created xsi:type="dcterms:W3CDTF">2026-07-23T06:11:53Z</dcterms:created>
  <dcterms:modified xsi:type="dcterms:W3CDTF">2026-07-23T06:11:53Z</dcterms:modified>
</cp:coreProperties>
</file>

<file path=docProps/custom.xml><?xml version="1.0" encoding="utf-8"?>
<Properties xmlns="http://schemas.openxmlformats.org/officeDocument/2006/custom-properties" xmlns:vt="http://schemas.openxmlformats.org/officeDocument/2006/docPropsVTypes"/>
</file>