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Iran</w:t>
      </w:r>
      <w:r>
        <w:t xml:space="preserve"> </w:t>
      </w:r>
      <w:r>
        <w:t xml:space="preserve">Tehran</w:t>
      </w:r>
    </w:p>
    <w:bookmarkStart w:id="27" w:name="Xa5a537a2018f3758872ef216fa742a3ff090d89"/>
    <w:p>
      <w:pPr>
        <w:pStyle w:val="Heading1"/>
      </w:pPr>
      <w:r>
        <w:t xml:space="preserve">Comprehensive Sales Report: Teacher Secondary Solutions in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Educational Solutions Inc.</w:t>
      </w:r>
      <w:r>
        <w:br/>
      </w:r>
      <w:r>
        <w:rPr>
          <w:bCs/>
          <w:b/>
        </w:rPr>
        <w:t xml:space="preserve">Report Period:</w:t>
      </w:r>
      <w:r>
        <w:t xml:space="preserve"> </w:t>
      </w:r>
      <w:r>
        <w:t xml:space="preserve">July 1, 2023 - September 30, 2023</w:t>
      </w:r>
      <w:r>
        <w:br/>
      </w:r>
      <w:r>
        <w:rPr>
          <w:bCs/>
          <w:b/>
        </w:rPr>
        <w:t xml:space="preserve">Coverage Area:</w:t>
      </w:r>
      <w:r>
        <w:t xml:space="preserve"> </w:t>
      </w:r>
      <w:r>
        <w:t xml:space="preserve">Tehran Province, Iran</w:t>
      </w:r>
    </w:p>
    <w:bookmarkStart w:id="20" w:name="i.-executive-summary"/>
    <w:p>
      <w:pPr>
        <w:pStyle w:val="Heading2"/>
      </w:pPr>
      <w:r>
        <w:t xml:space="preserve">I. Executive Summary</w:t>
      </w:r>
    </w:p>
    <w:p>
      <w:pPr>
        <w:pStyle w:val="FirstParagraph"/>
      </w:pPr>
      <w:r>
        <w:t xml:space="preserve">This Sales Report details the performance of our Teacher Secondary product line across Tehran province during Q3 2023. The report confirms significant market penetration within Iran's secondary education sector, with a 37% year-over-year growth in sales volume specifically targeting secondary school educators in Tehran. Our strategic focus on culturally relevant teacher development resources has positioned us as the preferred provider for Teacher Secondary needs across Iran's most populous educational hub. This success is attributed to our deep understanding of Tehran's unique pedagogical challenges and alignment with the Ministry of Education's national curriculum reforms.</w:t>
      </w:r>
    </w:p>
    <w:bookmarkEnd w:id="20"/>
    <w:bookmarkStart w:id="21" w:name="ii.-sales-performance-highlights"/>
    <w:p>
      <w:pPr>
        <w:pStyle w:val="Heading2"/>
      </w:pPr>
      <w:r>
        <w:t xml:space="preserve">II. Sales Performance Highlights</w:t>
      </w:r>
    </w:p>
    <w:p>
      <w:pPr>
        <w:pStyle w:val="FirstParagraph"/>
      </w:pPr>
      <w:r>
        <w:t xml:space="preserve">During the reporting period, we achieved 148 new institutional contracts across 79 secondary schools in Tehran, representing a 33% increase from Q2. Total revenue reached $487,500 USD (equivalent to IRR 9.2 billion), with a notable shift toward subscription-based models (65% of total sales) rather than one-time purchases. The Teacher Secondary Professional Development Package emerged as our flagship offering, securing 42% of all contracts in Tehran.</w:t>
      </w:r>
    </w:p>
    <w:p>
      <w:pPr>
        <w:pStyle w:val="BodyText"/>
      </w:pPr>
      <w:r>
        <w:rPr>
          <w:bCs/>
          <w:b/>
        </w:rPr>
        <w:t xml:space="preserve">Key Sales Metrics:</w:t>
      </w:r>
    </w:p>
    <w:p>
      <w:pPr>
        <w:numPr>
          <w:ilvl w:val="0"/>
          <w:numId w:val="1001"/>
        </w:numPr>
        <w:pStyle w:val="Compact"/>
      </w:pPr>
      <w:r>
        <w:rPr>
          <w:bCs/>
          <w:b/>
        </w:rPr>
        <w:t xml:space="preserve">Contract Growth:</w:t>
      </w:r>
      <w:r>
        <w:t xml:space="preserve"> </w:t>
      </w:r>
      <w:r>
        <w:t xml:space="preserve">+37% YoY in Tehran secondary schools</w:t>
      </w:r>
    </w:p>
    <w:p>
      <w:pPr>
        <w:numPr>
          <w:ilvl w:val="0"/>
          <w:numId w:val="1001"/>
        </w:numPr>
        <w:pStyle w:val="Compact"/>
      </w:pPr>
      <w:r>
        <w:rPr>
          <w:bCs/>
          <w:b/>
        </w:rPr>
        <w:t xml:space="preserve">Average Deal Size:</w:t>
      </w:r>
      <w:r>
        <w:t xml:space="preserve"> </w:t>
      </w:r>
      <w:r>
        <w:t xml:space="preserve">$4,200 USD per school (18% increase from 2022)</w:t>
      </w:r>
    </w:p>
    <w:p>
      <w:pPr>
        <w:numPr>
          <w:ilvl w:val="0"/>
          <w:numId w:val="1001"/>
        </w:numPr>
        <w:pStyle w:val="Compact"/>
      </w:pPr>
      <w:r>
        <w:rPr>
          <w:bCs/>
          <w:b/>
        </w:rPr>
        <w:t xml:space="preserve">School Type Distribution:</w:t>
      </w:r>
      <w:r>
        <w:t xml:space="preserve"> </w:t>
      </w:r>
      <w:r>
        <w:t xml:space="preserve">Public Schools (68%), Private International Schools (21%), Islamic Republic of Iran Ministry of Education Affiliated (11%)</w:t>
      </w:r>
    </w:p>
    <w:p>
      <w:pPr>
        <w:numPr>
          <w:ilvl w:val="0"/>
          <w:numId w:val="1001"/>
        </w:numPr>
        <w:pStyle w:val="Compact"/>
      </w:pPr>
      <w:r>
        <w:rPr>
          <w:bCs/>
          <w:b/>
        </w:rPr>
        <w:t xml:space="preserve">Geographic Reach:</w:t>
      </w:r>
      <w:r>
        <w:t xml:space="preserve"> </w:t>
      </w:r>
      <w:r>
        <w:t xml:space="preserve">7 districts across Tehran including Shemiranat, Valiasr, and Pardis</w:t>
      </w:r>
    </w:p>
    <w:bookmarkEnd w:id="21"/>
    <w:bookmarkStart w:id="22" w:name="Xd1e7e349b2418647ec07b9df87731c96f546343"/>
    <w:p>
      <w:pPr>
        <w:pStyle w:val="Heading2"/>
      </w:pPr>
      <w:r>
        <w:t xml:space="preserve">III. Market Analysis: Teacher Secondary Demand in Tehran</w:t>
      </w:r>
    </w:p>
    <w:p>
      <w:pPr>
        <w:pStyle w:val="FirstParagraph"/>
      </w:pPr>
      <w:r>
        <w:t xml:space="preserve">Tehran's secondary education market presents unique dynamics requiring specialized solutions. With over 1.8 million students enrolled in Tehran's public secondary schools (approximately 35% of Iran's total), the demand for teacher quality enhancement is acute following recent national curriculum revisions. Our analysis reveals three critical drivers for Teacher Secondary product adoption:</w:t>
      </w:r>
    </w:p>
    <w:p>
      <w:pPr>
        <w:numPr>
          <w:ilvl w:val="0"/>
          <w:numId w:val="1002"/>
        </w:numPr>
        <w:pStyle w:val="Compact"/>
      </w:pPr>
      <w:r>
        <w:rPr>
          <w:bCs/>
          <w:b/>
        </w:rPr>
        <w:t xml:space="preserve">Curriculum Alignment:</w:t>
      </w:r>
      <w:r>
        <w:t xml:space="preserve"> </w:t>
      </w:r>
      <w:r>
        <w:t xml:space="preserve">The Ministry of Education's 2023 STEM and Critical Thinking Framework requires immediate teacher training. Our Teacher Secondary modules directly map to these new standards, evidenced by 89% of schools citing this as their primary purchase driver.</w:t>
      </w:r>
    </w:p>
    <w:p>
      <w:pPr>
        <w:numPr>
          <w:ilvl w:val="0"/>
          <w:numId w:val="1002"/>
        </w:numPr>
        <w:pStyle w:val="Compact"/>
      </w:pPr>
      <w:r>
        <w:rPr>
          <w:bCs/>
          <w:b/>
        </w:rPr>
        <w:t xml:space="preserve">Resource Scarcity:</w:t>
      </w:r>
      <w:r>
        <w:t xml:space="preserve"> </w:t>
      </w:r>
      <w:r>
        <w:t xml:space="preserve">Tehran's urban schools face severe shortages in specialized teaching materials. Our digital resource hub (including Persian-language video lessons and interactive assessments) addresses this gap, with 76% of new clients reporting reduced reliance on outdated textbooks.</w:t>
      </w:r>
    </w:p>
    <w:p>
      <w:pPr>
        <w:numPr>
          <w:ilvl w:val="0"/>
          <w:numId w:val="1002"/>
        </w:numPr>
        <w:pStyle w:val="Compact"/>
      </w:pPr>
      <w:r>
        <w:rPr>
          <w:bCs/>
          <w:b/>
        </w:rPr>
        <w:t xml:space="preserve">Policy Compliance:</w:t>
      </w:r>
      <w:r>
        <w:t xml:space="preserve"> </w:t>
      </w:r>
      <w:r>
        <w:t xml:space="preserve">Mandatory teacher certification renewal every three years has created consistent demand. Our Teacher Secondary Certification Tracks now serve as the primary fulfillment path for 47% of Tehran's certified teachers.</w:t>
      </w:r>
    </w:p>
    <w:bookmarkEnd w:id="22"/>
    <w:bookmarkStart w:id="23" w:name="X6414458100f0ad21ae0f27cdf55843b9464521d"/>
    <w:p>
      <w:pPr>
        <w:pStyle w:val="Heading2"/>
      </w:pPr>
      <w:r>
        <w:t xml:space="preserve">IV. Product-Specific Success: Teacher Secondary Solutions</w:t>
      </w:r>
    </w:p>
    <w:p>
      <w:pPr>
        <w:pStyle w:val="FirstParagraph"/>
      </w:pPr>
      <w:r>
        <w:t xml:space="preserve">The term "Teacher Secondary" encapsulates our integrated solution suite designed exclusively for middle and high school educators in Iran. Key components driving sales include:</w:t>
      </w:r>
    </w:p>
    <w:p>
      <w:pPr>
        <w:numPr>
          <w:ilvl w:val="0"/>
          <w:numId w:val="1003"/>
        </w:numPr>
        <w:pStyle w:val="Compact"/>
      </w:pPr>
      <w:r>
        <w:rPr>
          <w:bCs/>
          <w:b/>
        </w:rPr>
        <w:t xml:space="preserve">Persian-Language Digital Curriculum Toolkit:</w:t>
      </w:r>
      <w:r>
        <w:t xml:space="preserve"> </w:t>
      </w:r>
      <w:r>
        <w:t xml:space="preserve">Customized lesson plans aligned with Tehran's state curriculum, featuring local case studies (e.g., "Water Management in Alborz Mountains" for geography classes). This module drove 58% of our Q3 sales.</w:t>
      </w:r>
    </w:p>
    <w:p>
      <w:pPr>
        <w:numPr>
          <w:ilvl w:val="0"/>
          <w:numId w:val="1003"/>
        </w:numPr>
        <w:pStyle w:val="Compact"/>
      </w:pPr>
      <w:r>
        <w:rPr>
          <w:bCs/>
          <w:b/>
        </w:rPr>
        <w:t xml:space="preserve">Tehran-Specific Professional Development:</w:t>
      </w:r>
      <w:r>
        <w:t xml:space="preserve"> </w:t>
      </w:r>
      <w:r>
        <w:t xml:space="preserve">Bi-monthly workshops hosted at Tehran University of Education and Imam Khomeini International School, covering urban classroom challenges unique to Tehran's diverse student population.</w:t>
      </w:r>
    </w:p>
    <w:p>
      <w:pPr>
        <w:numPr>
          <w:ilvl w:val="0"/>
          <w:numId w:val="1003"/>
        </w:numPr>
        <w:pStyle w:val="Compact"/>
      </w:pPr>
      <w:r>
        <w:rPr>
          <w:bCs/>
          <w:b/>
        </w:rPr>
        <w:t xml:space="preserve">AI-Powered Classroom Analytics:</w:t>
      </w:r>
      <w:r>
        <w:t xml:space="preserve"> </w:t>
      </w:r>
      <w:r>
        <w:t xml:space="preserve">Our "Tehran Teaching Insights" platform identifies subject-specific performance gaps in local student cohorts, directly informing teacher development needs. This feature reduced teacher training time by 33% per school.</w:t>
      </w:r>
    </w:p>
    <w:bookmarkEnd w:id="23"/>
    <w:bookmarkStart w:id="24" w:name="X8bb2a9f14b6ed6509e0ae1a5c7ecf34e8e76750"/>
    <w:p>
      <w:pPr>
        <w:pStyle w:val="Heading2"/>
      </w:pPr>
      <w:r>
        <w:t xml:space="preserve">V. Tehran Market Challenges and Strategic Response</w:t>
      </w:r>
    </w:p>
    <w:p>
      <w:pPr>
        <w:pStyle w:val="FirstParagraph"/>
      </w:pPr>
      <w:r>
        <w:t xml:space="preserve">Despite strong growth, we encountered specific challenges requiring localized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Teacher Secondary Response</w:t>
            </w:r>
          </w:p>
        </w:tc>
        <w:tc>
          <w:tcPr/>
          <w:p>
            <w:pPr>
              <w:pStyle w:val="Compact"/>
              <w:jc w:val="left"/>
            </w:pPr>
            <w:r>
              <w:t xml:space="preserve">Tehran-Specific Outcome</w:t>
            </w:r>
          </w:p>
        </w:tc>
      </w:tr>
      <w:tr>
        <w:tc>
          <w:tcPr/>
          <w:p>
            <w:pPr>
              <w:pStyle w:val="Compact"/>
              <w:jc w:val="left"/>
            </w:pPr>
            <w:r>
              <w:t xml:space="preserve">High teacher turnover in Tehran's public schools (17% annually)</w:t>
            </w:r>
          </w:p>
        </w:tc>
        <w:tc>
          <w:tcPr/>
          <w:p>
            <w:pPr>
              <w:pStyle w:val="Compact"/>
              <w:jc w:val="left"/>
            </w:pPr>
            <w:r>
              <w:t xml:space="preserve">Launched "Tehran Teacher Retention Program" with accelerated certification paths</w:t>
            </w:r>
          </w:p>
        </w:tc>
        <w:tc>
          <w:tcPr/>
          <w:p>
            <w:pPr>
              <w:pStyle w:val="Compact"/>
              <w:jc w:val="left"/>
            </w:pPr>
            <w:r>
              <w:t xml:space="preserve">Reduced client churn by 29% in target districts</w:t>
            </w:r>
          </w:p>
        </w:tc>
      </w:tr>
      <w:tr>
        <w:tc>
          <w:tcPr/>
          <w:p>
            <w:pPr>
              <w:pStyle w:val="Compact"/>
              <w:jc w:val="left"/>
            </w:pPr>
            <w:r>
              <w:t xml:space="preserve">Limited digital infrastructure in older Tehran schools</w:t>
            </w:r>
          </w:p>
        </w:tc>
        <w:tc>
          <w:tcPr/>
          <w:p>
            <w:pPr>
              <w:pStyle w:val="Compact"/>
              <w:jc w:val="left"/>
            </w:pPr>
            <w:r>
              <w:t xml:space="preserve">Developed offline-optimized mobile app with SMS-based interaction</w:t>
            </w:r>
          </w:p>
        </w:tc>
        <w:tc>
          <w:tcPr/>
          <w:p>
            <w:pPr>
              <w:pStyle w:val="Compact"/>
              <w:jc w:val="left"/>
            </w:pPr>
            <w:r>
              <w:t xml:space="preserve">Enabled usage in 94% of schools (up from 68% previously)</w:t>
            </w:r>
          </w:p>
        </w:tc>
      </w:tr>
      <w:tr>
        <w:tc>
          <w:tcPr/>
          <w:p>
            <w:pPr>
              <w:pStyle w:val="Compact"/>
              <w:jc w:val="left"/>
            </w:pPr>
            <w:r>
              <w:t xml:space="preserve">Cultural resistance to foreign pedagogy models</w:t>
            </w:r>
          </w:p>
        </w:tc>
        <w:tc>
          <w:tcPr/>
          <w:p>
            <w:pPr>
              <w:pStyle w:val="Compact"/>
              <w:jc w:val="left"/>
            </w:pPr>
            <w:r>
              <w:t xml:space="preserve">Co-created content with Tehran Ministry of Education curriculum specialists</w:t>
            </w:r>
          </w:p>
        </w:tc>
        <w:tc>
          <w:tcPr/>
          <w:p>
            <w:pPr>
              <w:pStyle w:val="Compact"/>
              <w:jc w:val="left"/>
            </w:pPr>
            <w:r>
              <w:t xml:space="preserve">100% of new contracts include local educator endorsements</w:t>
            </w:r>
          </w:p>
        </w:tc>
      </w:tr>
    </w:tbl>
    <w:bookmarkEnd w:id="24"/>
    <w:bookmarkStart w:id="25" w:name="X663f72b35b59e4c3c433951eac5c6c957301524"/>
    <w:p>
      <w:pPr>
        <w:pStyle w:val="Heading2"/>
      </w:pPr>
      <w:r>
        <w:t xml:space="preserve">VI. Future Outlook for Teacher Secondary in Iran Tehran</w:t>
      </w:r>
    </w:p>
    <w:p>
      <w:pPr>
        <w:pStyle w:val="FirstParagraph"/>
      </w:pPr>
      <w:r>
        <w:t xml:space="preserve">The pipeline for Teacher Secondary solutions shows exceptional promise, with 237 schools in Tehran actively expressing interest during Q4. Our growth strategy focuses on three pillars:</w:t>
      </w:r>
    </w:p>
    <w:p>
      <w:pPr>
        <w:numPr>
          <w:ilvl w:val="0"/>
          <w:numId w:val="1004"/>
        </w:numPr>
        <w:pStyle w:val="Compact"/>
      </w:pPr>
      <w:r>
        <w:rPr>
          <w:bCs/>
          <w:b/>
        </w:rPr>
        <w:t xml:space="preserve">Government Partnership Expansion:</w:t>
      </w:r>
      <w:r>
        <w:t xml:space="preserve"> </w:t>
      </w:r>
      <w:r>
        <w:t xml:space="preserve">Finalizing a MoU with Tehran's Provincial Education Office for district-wide Teacher Secondary implementation (potential $1.2M revenue stream).</w:t>
      </w:r>
    </w:p>
    <w:p>
      <w:pPr>
        <w:numPr>
          <w:ilvl w:val="0"/>
          <w:numId w:val="1004"/>
        </w:numPr>
        <w:pStyle w:val="Compact"/>
      </w:pPr>
      <w:r>
        <w:rPr>
          <w:bCs/>
          <w:b/>
        </w:rPr>
        <w:t xml:space="preserve">Tehran Community Integration:</w:t>
      </w:r>
      <w:r>
        <w:t xml:space="preserve"> </w:t>
      </w:r>
      <w:r>
        <w:t xml:space="preserve">Launching "Parent-Teacher Digital Circles" to demonstrate student impact, addressing Tehran families' growing educational expectations.</w:t>
      </w:r>
    </w:p>
    <w:bookmarkEnd w:id="25"/>
    <w:bookmarkStart w:id="26" w:name="vii.-conclusion"/>
    <w:p>
      <w:pPr>
        <w:pStyle w:val="Heading2"/>
      </w:pPr>
      <w:r>
        <w:t xml:space="preserve">VII. Conclusion</w:t>
      </w:r>
    </w:p>
    <w:p>
      <w:pPr>
        <w:pStyle w:val="FirstParagraph"/>
      </w:pPr>
      <w:r>
        <w:t xml:space="preserve">This Sales Report confirms Teacher Secondary as the most strategically aligned product line within Iran's education sector, particularly for Tehran where we've achieved market leadership (31% share in secondary teacher training). Our success stems from understanding that "Teacher Secondary" isn't merely a product category but an ecosystem requiring deep cultural and pedagogical contextualization. The consistent growth in Tehran – despite regional economic pressures – validates our localization strategy. As Iran's educational landscape evolves, our Teacher Secondary solutions will remain central to empowering educators across Tehran's diverse secondary schools. We project 45% revenue growth for Q4 2023, with Tehran accounting for 78% of total national sales.</w:t>
      </w:r>
    </w:p>
    <w:p>
      <w:pPr>
        <w:pStyle w:val="BodyText"/>
      </w:pPr>
      <w:r>
        <w:rPr>
          <w:bCs/>
          <w:b/>
        </w:rPr>
        <w:t xml:space="preserve">Recommendation:</w:t>
      </w:r>
      <w:r>
        <w:t xml:space="preserve"> </w:t>
      </w:r>
      <w:r>
        <w:t xml:space="preserve">Allocate additional resources to expand the Tehran-based Teacher Secondary localization team to accelerate content development for upcoming curriculum phases. This represents our single highest-impact opportunity in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Iran Tehran</dc:title>
  <dc:creator/>
  <dc:language>en</dc:language>
  <cp:keywords/>
  <dcterms:created xsi:type="dcterms:W3CDTF">2026-07-22T23:09:47Z</dcterms:created>
  <dcterms:modified xsi:type="dcterms:W3CDTF">2026-07-22T23:09:47Z</dcterms:modified>
</cp:coreProperties>
</file>

<file path=docProps/custom.xml><?xml version="1.0" encoding="utf-8"?>
<Properties xmlns="http://schemas.openxmlformats.org/officeDocument/2006/custom-properties" xmlns:vt="http://schemas.openxmlformats.org/officeDocument/2006/docPropsVTypes"/>
</file>