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Sales</w:t>
      </w:r>
      <w:r>
        <w:t xml:space="preserve"> </w:t>
      </w:r>
      <w:r>
        <w:t xml:space="preserve">Report</w:t>
      </w:r>
      <w:r>
        <w:t xml:space="preserve"> </w:t>
      </w:r>
      <w:r>
        <w:t xml:space="preserve">-</w:t>
      </w:r>
      <w:r>
        <w:t xml:space="preserve"> </w:t>
      </w:r>
      <w:r>
        <w:t xml:space="preserve">Israel</w:t>
      </w:r>
      <w:r>
        <w:t xml:space="preserve"> </w:t>
      </w:r>
      <w:r>
        <w:t xml:space="preserve">Tel</w:t>
      </w:r>
      <w:r>
        <w:t xml:space="preserve"> </w:t>
      </w:r>
      <w:r>
        <w:t xml:space="preserve">Aviv</w:t>
      </w:r>
    </w:p>
    <w:bookmarkStart w:id="31" w:name="X854ac353cb01e9996a1cadefd220c79a6239bff"/>
    <w:p>
      <w:pPr>
        <w:pStyle w:val="Heading1"/>
      </w:pPr>
      <w:r>
        <w:t xml:space="preserve">Comprehensive Sales Report: Teacher Secondary Programs in Israel Tel Aviv</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Reporting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performance of our Teacher Secondary program portfolio across Israel Tel Aviv, representing a critical growth market for educational technology solutions. Despite economic headwinds in the region, our Q3 sales demonstrated remarkable resilience, achieving 118% of quarterly targets with a 27% year-over-year increase in revenue from secondary school educators. The report confirms Tel Aviv's position as Israel's most dynamic hub for innovative teaching solutions, where Teacher Secondary adoption rates now exceed national averages by 34%. These results validate our strategic focus on Tel Aviv's unique educational ecosystem and position us for expanded market leadership.</w:t>
      </w:r>
    </w:p>
    <w:bookmarkEnd w:id="20"/>
    <w:bookmarkStart w:id="21" w:name="X26b1bf881ec95bbf25684238e0b371238c44f12"/>
    <w:p>
      <w:pPr>
        <w:pStyle w:val="Heading2"/>
      </w:pPr>
      <w:r>
        <w:t xml:space="preserve">II. Market Context: Teacher Secondary in Israel Tel Aviv</w:t>
      </w:r>
    </w:p>
    <w:p>
      <w:pPr>
        <w:pStyle w:val="FirstParagraph"/>
      </w:pPr>
      <w:r>
        <w:t xml:space="preserve">Israel Tel Aviv presents a distinct landscape for Teacher Secondary initiatives. The city houses 142 secondary schools (68% public, 32% private) serving over 75,000 students, with teachers increasingly seeking digital tools to address Israel's National Curriculum demands. Our market research confirms that 89% of Tel Aviv secondary educators prioritize solutions enhancing classroom engagement and standardized test performance – directly aligning with our product suite. The city's status as Israel's tech capital drives exceptional adoption rates for innovative education technology compared to other regions, making it the ideal proving ground for our Teacher Secondary offerings.</w:t>
      </w:r>
    </w:p>
    <w:bookmarkEnd w:id="21"/>
    <w:bookmarkStart w:id="22" w:name="iii.-q3-sales-performance-highlights"/>
    <w:p>
      <w:pPr>
        <w:pStyle w:val="Heading2"/>
      </w:pPr>
      <w:r>
        <w:t xml:space="preserve">III. Q3 Sales Performance Highlights</w:t>
      </w:r>
    </w:p>
    <w:p>
      <w:pPr>
        <w:pStyle w:val="FirstParagraph"/>
      </w:pPr>
      <w:r>
        <w:t xml:space="preserve">Product/Service</w:t>
      </w:r>
    </w:p>
    <w:p>
      <w:pPr>
        <w:pStyle w:val="BodyText"/>
      </w:pPr>
      <w:r>
        <w:t xml:space="preserve">Q3 Revenue (₪)</w:t>
      </w:r>
    </w:p>
    <w:p>
      <w:pPr>
        <w:pStyle w:val="BodyText"/>
      </w:pPr>
      <w:r>
        <w:t xml:space="preserve">% of Total</w:t>
      </w:r>
    </w:p>
    <w:p>
      <w:pPr>
        <w:pStyle w:val="BodyText"/>
      </w:pPr>
      <w:r>
        <w:t xml:space="preserve">YoY Growth</w:t>
      </w:r>
    </w:p>
    <w:p>
      <w:pPr>
        <w:pStyle w:val="BodyText"/>
      </w:pPr>
      <w:r>
        <w:t xml:space="preserve">Digital Lesson Planner Pro</w:t>
      </w:r>
    </w:p>
    <w:p>
      <w:pPr>
        <w:pStyle w:val="BodyText"/>
      </w:pPr>
      <w:r>
        <w:t xml:space="preserve">1,845,200</w:t>
      </w:r>
    </w:p>
    <w:p>
      <w:pPr>
        <w:pStyle w:val="BodyText"/>
      </w:pPr>
      <w:r>
        <w:t xml:space="preserve">47%</w:t>
      </w:r>
    </w:p>
    <w:p>
      <w:pPr>
        <w:pStyle w:val="BodyText"/>
      </w:pPr>
      <w:r>
        <w:t xml:space="preserve">+38.2%</w:t>
      </w:r>
    </w:p>
    <w:p>
      <w:pPr>
        <w:pStyle w:val="BodyText"/>
      </w:pPr>
      <w:r>
        <w:t xml:space="preserve">Classroom Analytics Suite</w:t>
      </w:r>
    </w:p>
    <w:p>
      <w:pPr>
        <w:pStyle w:val="BodyText"/>
      </w:pPr>
      <w:r>
        <w:t xml:space="preserve">1,397,600</w:t>
      </w:r>
    </w:p>
    <w:p>
      <w:pPr>
        <w:pStyle w:val="BodyText"/>
      </w:pPr>
      <w:r>
        <w:t xml:space="preserve">35%&lt; td&gt;+29.7%</w:t>
      </w:r>
    </w:p>
    <w:p>
      <w:pPr>
        <w:pStyle w:val="BodyText"/>
      </w:pPr>
      <w:r>
        <w:t xml:space="preserve">Teacher Professional Development (TPD) Webinars</w:t>
      </w:r>
    </w:p>
    <w:p>
      <w:pPr>
        <w:pStyle w:val="BodyText"/>
      </w:pPr>
      <w:r>
        <w:t xml:space="preserve">428,900</w:t>
      </w:r>
    </w:p>
    <w:p>
      <w:pPr>
        <w:pStyle w:val="BodyText"/>
      </w:pPr>
      <w:r>
        <w:t xml:space="preserve">11%</w:t>
      </w:r>
    </w:p>
    <w:p>
      <w:pPr>
        <w:pStyle w:val="BodyText"/>
      </w:pPr>
      <w:r>
        <w:t xml:space="preserve">+65.4%</w:t>
      </w:r>
    </w:p>
    <w:p>
      <w:pPr>
        <w:pStyle w:val="BodyText"/>
      </w:pPr>
      <w:r>
        <w:t xml:space="preserve">Custom Curriculum Integration</w:t>
      </w:r>
    </w:p>
    <w:p>
      <w:pPr>
        <w:pStyle w:val="BodyText"/>
      </w:pPr>
      <w:r>
        <w:t xml:space="preserve">Total: 3,671,700</w:t>
      </w:r>
    </w:p>
    <w:p>
      <w:pPr>
        <w:pStyle w:val="BodyText"/>
      </w:pPr>
      <w:r>
        <w:t xml:space="preserve">+27.3% (vs Q3 2022)</w:t>
      </w:r>
    </w:p>
    <w:p>
      <w:pPr>
        <w:pStyle w:val="BodyText"/>
      </w:pPr>
      <w:r>
        <w:t xml:space="preserve">Key achievement metrics include:</w:t>
      </w:r>
    </w:p>
    <w:p>
      <w:pPr>
        <w:numPr>
          <w:ilvl w:val="0"/>
          <w:numId w:val="1001"/>
        </w:numPr>
        <w:pStyle w:val="Compact"/>
      </w:pPr>
      <w:r>
        <w:t xml:space="preserve">41 new secondary school contracts signed in Tel Aviv (vs. 30 in Q2)</w:t>
      </w:r>
    </w:p>
    <w:p>
      <w:pPr>
        <w:numPr>
          <w:ilvl w:val="0"/>
          <w:numId w:val="1001"/>
        </w:numPr>
        <w:pStyle w:val="Compact"/>
      </w:pPr>
      <w:r>
        <w:t xml:space="preserve">78% of sales came from repeat Teacher Secondary clients</w:t>
      </w:r>
    </w:p>
    <w:p>
      <w:pPr>
        <w:numPr>
          <w:ilvl w:val="0"/>
          <w:numId w:val="1001"/>
        </w:numPr>
        <w:pStyle w:val="Compact"/>
      </w:pPr>
      <w:r>
        <w:t xml:space="preserve">Pipeline value for Teacher Secondary increased 42% quarter-over-quarter</w:t>
      </w:r>
    </w:p>
    <w:p>
      <w:pPr>
        <w:numPr>
          <w:ilvl w:val="0"/>
          <w:numId w:val="1001"/>
        </w:numPr>
        <w:pStyle w:val="Compact"/>
      </w:pPr>
      <w:r>
        <w:t xml:space="preserve">Teacher Secondary solution adoption rate reached 63% across targeted Tel Aviv schools (up from 49% in Q1)</w:t>
      </w:r>
    </w:p>
    <w:bookmarkEnd w:id="22"/>
    <w:bookmarkStart w:id="26" w:name="iv.-success-drivers-in-israel-tel-aviv"/>
    <w:p>
      <w:pPr>
        <w:pStyle w:val="Heading2"/>
      </w:pPr>
      <w:r>
        <w:t xml:space="preserve">IV. Success Drivers in Israel Tel Aviv</w:t>
      </w:r>
    </w:p>
    <w:p>
      <w:pPr>
        <w:pStyle w:val="FirstParagraph"/>
      </w:pPr>
      <w:r>
        <w:t xml:space="preserve">Our success stems from hyper-localized strategies addressing Tel Aviv's educational needs:</w:t>
      </w:r>
    </w:p>
    <w:bookmarkStart w:id="23" w:name="a.-curriculum-alignment"/>
    <w:p>
      <w:pPr>
        <w:pStyle w:val="Heading3"/>
      </w:pPr>
      <w:r>
        <w:t xml:space="preserve">A. Curriculum Alignment</w:t>
      </w:r>
    </w:p>
    <w:p>
      <w:pPr>
        <w:pStyle w:val="FirstParagraph"/>
      </w:pPr>
      <w:r>
        <w:t xml:space="preserve">We co-developed our Digital Lesson Planner Pro with 17 Tel Aviv Ministry of Education advisors, ensuring perfect alignment with Israel's matriculation exam requirements. This customization drove a 56% increase in teacher adoption among secondary schools in the city.</w:t>
      </w:r>
    </w:p>
    <w:bookmarkEnd w:id="23"/>
    <w:bookmarkStart w:id="24" w:name="b.-teacher-centric-implementation"/>
    <w:p>
      <w:pPr>
        <w:pStyle w:val="Heading3"/>
      </w:pPr>
      <w:r>
        <w:t xml:space="preserve">B. Teacher-Centric Implementation</w:t>
      </w:r>
    </w:p>
    <w:p>
      <w:pPr>
        <w:pStyle w:val="FirstParagraph"/>
      </w:pPr>
      <w:r>
        <w:t xml:space="preserve">Recognizing that Teacher Secondary success requires minimal disruption, our Tel Aviv team deployed "Embedded Educator Coaches" – certified teachers who provide on-site training during school hours. This approach increased satisfaction scores to 92% (vs. industry average of 68%) and reduced onboarding time by 40%.</w:t>
      </w:r>
    </w:p>
    <w:bookmarkEnd w:id="24"/>
    <w:bookmarkStart w:id="25" w:name="c.-strategic-partnerships"/>
    <w:p>
      <w:pPr>
        <w:pStyle w:val="Heading3"/>
      </w:pPr>
      <w:r>
        <w:t xml:space="preserve">C. Strategic Partnerships</w:t>
      </w:r>
    </w:p>
    <w:p>
      <w:pPr>
        <w:pStyle w:val="FirstParagraph"/>
      </w:pPr>
      <w:r>
        <w:t xml:space="preserve">Collaborations with Tel Aviv's Education Innovation Hub and the Israel Teachers Union amplified our reach. Joint workshops at the Tel Aviv Museum of Art attracted over 2,100 secondary educators in Q3 alone, generating 65% of new leads.</w:t>
      </w:r>
    </w:p>
    <w:bookmarkEnd w:id="25"/>
    <w:bookmarkEnd w:id="26"/>
    <w:bookmarkStart w:id="27" w:name="Xf33a09acd97a4ee51011c82157047cf081c7106"/>
    <w:p>
      <w:pPr>
        <w:pStyle w:val="Heading2"/>
      </w:pPr>
      <w:r>
        <w:t xml:space="preserve">V. Market Insights: Teacher Secondary Trends</w:t>
      </w:r>
    </w:p>
    <w:p>
      <w:pPr>
        <w:pStyle w:val="FirstParagraph"/>
      </w:pPr>
      <w:r>
        <w:t xml:space="preserve">Analysis reveals three critical patterns shaping the Israel Tel Aviv market:</w:t>
      </w:r>
    </w:p>
    <w:p>
      <w:pPr>
        <w:numPr>
          <w:ilvl w:val="0"/>
          <w:numId w:val="1002"/>
        </w:numPr>
        <w:pStyle w:val="Compact"/>
      </w:pPr>
      <w:r>
        <w:rPr>
          <w:bCs/>
          <w:b/>
        </w:rPr>
        <w:t xml:space="preserve">Demographic Shift:</w:t>
      </w:r>
      <w:r>
        <w:t xml:space="preserve"> </w:t>
      </w:r>
      <w:r>
        <w:t xml:space="preserve">71% of secondary teachers in Tel Aviv are under 40, driving demand for mobile-first solutions. Our app saw a 92% usage rate among this cohort.</w:t>
      </w:r>
    </w:p>
    <w:p>
      <w:pPr>
        <w:numPr>
          <w:ilvl w:val="0"/>
          <w:numId w:val="1002"/>
        </w:numPr>
        <w:pStyle w:val="Compact"/>
      </w:pPr>
      <w:r>
        <w:rPr>
          <w:bCs/>
          <w:b/>
        </w:rPr>
        <w:t xml:space="preserve">Budget Reallocation:</w:t>
      </w:r>
      <w:r>
        <w:t xml:space="preserve"> </w:t>
      </w:r>
      <w:r>
        <w:t xml:space="preserve">Schools allocated 18% more funding to digital teaching tools after Israel's new Education Ministry directive prioritizing classroom tech.</w:t>
      </w:r>
    </w:p>
    <w:p>
      <w:pPr>
        <w:numPr>
          <w:ilvl w:val="0"/>
          <w:numId w:val="1002"/>
        </w:numPr>
        <w:pStyle w:val="Compact"/>
      </w:pPr>
      <w:r>
        <w:rPr>
          <w:bCs/>
          <w:b/>
        </w:rPr>
        <w:t xml:space="preserve">Peer Influence:</w:t>
      </w:r>
      <w:r>
        <w:t xml:space="preserve"> </w:t>
      </w:r>
      <w:r>
        <w:t xml:space="preserve">Teacher Secondary adoption spreads rapidly through "Influencer Teachers" – 73% of new clients cited recommendations from colleague educators in Tel Aviv schools.</w:t>
      </w:r>
    </w:p>
    <w:bookmarkEnd w:id="27"/>
    <w:bookmarkStart w:id="28" w:name="vi.-challenges-mitigation-strategies"/>
    <w:p>
      <w:pPr>
        <w:pStyle w:val="Heading2"/>
      </w:pPr>
      <w:r>
        <w:t xml:space="preserve">VI. Challenges &amp; Mitigation Strategies</w:t>
      </w:r>
    </w:p>
    <w:p>
      <w:pPr>
        <w:pStyle w:val="FirstParagraph"/>
      </w:pPr>
      <w:r>
        <w:t xml:space="preserve">We faced two primary challenges specific to Israel Tel Aviv:</w:t>
      </w:r>
      <w:r>
        <w:t xml:space="preserve"> </w:t>
      </w:r>
      <w:r>
        <w:rPr>
          <w:bCs/>
          <w:b/>
        </w:rPr>
        <w:t xml:space="preserve">Challenge 1:</w:t>
      </w:r>
      <w:r>
        <w:t xml:space="preserve"> </w:t>
      </w:r>
      <w:r>
        <w:t xml:space="preserve">Competitor price wars during school budget cycles.</w:t>
      </w:r>
      <w:r>
        <w:t xml:space="preserve"> </w:t>
      </w:r>
      <w:r>
        <w:rPr>
          <w:iCs/>
          <w:i/>
        </w:rPr>
        <w:t xml:space="preserve">Mitigation:</w:t>
      </w:r>
      <w:r>
        <w:t xml:space="preserve"> </w:t>
      </w:r>
      <w:r>
        <w:t xml:space="preserve">We launched the "Tel Aviv Teacher Support Package" – bundling our core solutions with free professional development hours, maintaining 15% higher profit margins than competitors.</w:t>
      </w:r>
    </w:p>
    <w:p>
      <w:pPr>
        <w:pStyle w:val="BodyText"/>
      </w:pPr>
      <w:r>
        <w:rPr>
          <w:bCs/>
          <w:b/>
        </w:rPr>
        <w:t xml:space="preserve">Challenge 2:</w:t>
      </w:r>
      <w:r>
        <w:t xml:space="preserve"> </w:t>
      </w:r>
      <w:r>
        <w:t xml:space="preserve">Cultural resistance to AI tools among veteran educators.</w:t>
      </w:r>
      <w:r>
        <w:t xml:space="preserve"> </w:t>
      </w:r>
      <w:r>
        <w:rPr>
          <w:iCs/>
          <w:i/>
        </w:rPr>
        <w:t xml:space="preserve">Mitigation:</w:t>
      </w:r>
      <w:r>
        <w:t xml:space="preserve"> </w:t>
      </w:r>
      <w:r>
        <w:t xml:space="preserve">Our localized onboarding now includes "AI-First Teacher" mentorship programs led by respected Tel Aviv educators, reducing resistance by 68%.</w:t>
      </w:r>
    </w:p>
    <w:bookmarkEnd w:id="28"/>
    <w:bookmarkStart w:id="29" w:name="vii.-strategic-recommendations-for-q4"/>
    <w:p>
      <w:pPr>
        <w:pStyle w:val="Heading2"/>
      </w:pPr>
      <w:r>
        <w:t xml:space="preserve">VII. Strategic Recommendations for Q4</w:t>
      </w:r>
    </w:p>
    <w:p>
      <w:pPr>
        <w:pStyle w:val="FirstParagraph"/>
      </w:pPr>
      <w:r>
        <w:t xml:space="preserve">Based on this Sales Report, we recommend:</w:t>
      </w:r>
    </w:p>
    <w:p>
      <w:pPr>
        <w:numPr>
          <w:ilvl w:val="0"/>
          <w:numId w:val="1003"/>
        </w:numPr>
        <w:pStyle w:val="Compact"/>
      </w:pPr>
      <w:r>
        <w:rPr>
          <w:bCs/>
          <w:b/>
        </w:rPr>
        <w:t xml:space="preserve">Expand Tel Aviv Teacher Ambassador Network:</w:t>
      </w:r>
      <w:r>
        <w:t xml:space="preserve"> </w:t>
      </w:r>
      <w:r>
        <w:t xml:space="preserve">Recruit 30 additional influential secondary teachers across all school types to drive peer-to-peer adoption.</w:t>
      </w:r>
    </w:p>
    <w:p>
      <w:pPr>
        <w:numPr>
          <w:ilvl w:val="0"/>
          <w:numId w:val="1003"/>
        </w:numPr>
        <w:pStyle w:val="Compact"/>
      </w:pPr>
      <w:r>
        <w:rPr>
          <w:bCs/>
          <w:b/>
        </w:rPr>
        <w:t xml:space="preserve">Leverage Government Initiatives:</w:t>
      </w:r>
      <w:r>
        <w:t xml:space="preserve"> </w:t>
      </w:r>
      <w:r>
        <w:t xml:space="preserve">Align product features with the new Israel Ministry of Education "Digital Schools 2025" roadmap for targeted marketing.</w:t>
      </w:r>
    </w:p>
    <w:p>
      <w:pPr>
        <w:numPr>
          <w:ilvl w:val="0"/>
          <w:numId w:val="1003"/>
        </w:numPr>
        <w:pStyle w:val="Compact"/>
      </w:pPr>
      <w:r>
        <w:rPr>
          <w:bCs/>
          <w:b/>
        </w:rPr>
        <w:t xml:space="preserve">Develop Tel Aviv-Specific Content:</w:t>
      </w:r>
      <w:r>
        <w:t xml:space="preserve"> </w:t>
      </w:r>
      <w:r>
        <w:t xml:space="preserve">Create Hebrew-language case studies featuring success stories from schools like Ramat Gan High and Herzliya Pituah Secondary.</w:t>
      </w:r>
    </w:p>
    <w:p>
      <w:pPr>
        <w:numPr>
          <w:ilvl w:val="0"/>
          <w:numId w:val="1003"/>
        </w:numPr>
        <w:pStyle w:val="Compact"/>
      </w:pPr>
      <w:r>
        <w:rPr>
          <w:bCs/>
          <w:b/>
        </w:rPr>
        <w:t xml:space="preserve">Prioritize Data Privacy Compliance:</w:t>
      </w:r>
      <w:r>
        <w:t xml:space="preserve"> </w:t>
      </w:r>
      <w:r>
        <w:t xml:space="preserve">Implement GDPR-compliant data handling protocols to address Israel's stringent educational data regulations, which influenced 32% of purchase decisions in Q3.</w:t>
      </w:r>
    </w:p>
    <w:bookmarkEnd w:id="29"/>
    <w:bookmarkStart w:id="30" w:name="viii.-conclusion-the-tel-aviv-advantage"/>
    <w:p>
      <w:pPr>
        <w:pStyle w:val="Heading2"/>
      </w:pPr>
      <w:r>
        <w:t xml:space="preserve">VIII. Conclusion: The Tel Aviv Advantage</w:t>
      </w:r>
    </w:p>
    <w:p>
      <w:pPr>
        <w:pStyle w:val="FirstParagraph"/>
      </w:pPr>
      <w:r>
        <w:t xml:space="preserve">This Sales Report unequivocally confirms that Israel Tel Aviv is not just a significant market for Teacher Secondary solutions – it's the innovation engine driving our entire education division. The city's unique blend of educational urgency, tech-savvy educators, and supportive institutional frameworks has delivered exceptional results. Our Q3 performance demonstrates that when sales strategies are meticulously tailored to the specific needs of Tel Aviv's secondary educators – not generic national approaches – we achieve sustainable growth. As we prepare for 2024, this Sales Report affirms that our Teacher Secondary focus in Israel Tel Aviv must remain our highest strategic priority, with continued investment in localized product development and community engagement. The data is clear: by centering our solutions on the real-world challenges of Tel Aviv's teachers, we're not just selling software – we're empowering the next generation of Israeli educators.</w:t>
      </w:r>
    </w:p>
    <w:p>
      <w:pPr>
        <w:pStyle w:val="BodyText"/>
      </w:pPr>
      <w:r>
        <w:rPr>
          <w:iCs/>
          <w:i/>
        </w:rPr>
        <w:t xml:space="preserve">Prepared by: Global Education Sales Team</w:t>
      </w:r>
    </w:p>
    <w:p>
      <w:pPr>
        <w:pStyle w:val="BodyText"/>
      </w:pPr>
      <w:r>
        <w:rPr>
          <w:iCs/>
          <w:i/>
        </w:rPr>
        <w:t xml:space="preserve">Confidential - For Internal Use Only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Sales Report - Israel Tel Aviv</dc:title>
  <dc:creator/>
  <dc:language>en</dc:language>
  <cp:keywords/>
  <dcterms:created xsi:type="dcterms:W3CDTF">2025-12-11T06:51:20Z</dcterms:created>
  <dcterms:modified xsi:type="dcterms:W3CDTF">2025-12-11T06:51:20Z</dcterms:modified>
</cp:coreProperties>
</file>

<file path=docProps/custom.xml><?xml version="1.0" encoding="utf-8"?>
<Properties xmlns="http://schemas.openxmlformats.org/officeDocument/2006/custom-properties" xmlns:vt="http://schemas.openxmlformats.org/officeDocument/2006/docPropsVTypes"/>
</file>